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73F1224F" w:rsidR="00C01145" w:rsidRDefault="009B63C0" w:rsidP="009A0E33">
      <w:pPr>
        <w:pStyle w:val="YourNameInDocument"/>
        <w:tabs>
          <w:tab w:val="center" w:pos="3626"/>
        </w:tabs>
      </w:pPr>
      <w:r>
        <w:rPr>
          <w:noProof/>
        </w:rPr>
        <mc:AlternateContent>
          <mc:Choice Requires="wps">
            <w:drawing>
              <wp:anchor distT="0" distB="0" distL="114300" distR="114300" simplePos="0" relativeHeight="251661312" behindDoc="0" locked="0" layoutInCell="1" allowOverlap="1" wp14:anchorId="5C64C03A" wp14:editId="3A32BC2A">
                <wp:simplePos x="0" y="0"/>
                <wp:positionH relativeFrom="margin">
                  <wp:align>left</wp:align>
                </wp:positionH>
                <wp:positionV relativeFrom="paragraph">
                  <wp:posOffset>0</wp:posOffset>
                </wp:positionV>
                <wp:extent cx="7454900" cy="6858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549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3D9BB90F"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612397">
                              <w:rPr>
                                <w:i/>
                                <w:sz w:val="32"/>
                              </w:rPr>
                              <w:t>Rural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64C03A" id="_x0000_t202" coordsize="21600,21600" o:spt="202" path="m,l,21600r21600,l21600,xe">
                <v:stroke joinstyle="miter"/>
                <v:path gradientshapeok="t" o:connecttype="rect"/>
              </v:shapetype>
              <v:shape id="Text Box 2" o:spid="_x0000_s1026" type="#_x0000_t202" style="position:absolute;margin-left:0;margin-top:0;width:587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3D9BB90F"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612397">
                        <w:rPr>
                          <w:i/>
                          <w:sz w:val="32"/>
                        </w:rPr>
                        <w:t>Rural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51C6D967" wp14:editId="6FCFF62F">
                <wp:simplePos x="0" y="0"/>
                <wp:positionH relativeFrom="margin">
                  <wp:align>left</wp:align>
                </wp:positionH>
                <wp:positionV relativeFrom="paragraph">
                  <wp:posOffset>699770</wp:posOffset>
                </wp:positionV>
                <wp:extent cx="7454900" cy="8959850"/>
                <wp:effectExtent l="0" t="0" r="12700" b="12700"/>
                <wp:wrapNone/>
                <wp:docPr id="3" name="Text Box 2"/>
                <wp:cNvGraphicFramePr/>
                <a:graphic xmlns:a="http://schemas.openxmlformats.org/drawingml/2006/main">
                  <a:graphicData uri="http://schemas.microsoft.com/office/word/2010/wordprocessingShape">
                    <wps:wsp>
                      <wps:cNvSpPr txBox="1"/>
                      <wps:spPr>
                        <a:xfrm>
                          <a:off x="0" y="0"/>
                          <a:ext cx="7454900" cy="8959850"/>
                        </a:xfrm>
                        <a:prstGeom prst="rect">
                          <a:avLst/>
                        </a:prstGeom>
                        <a:solidFill>
                          <a:srgbClr val="FFFFFF"/>
                        </a:solidFill>
                        <a:ln w="9528">
                          <a:solidFill>
                            <a:srgbClr val="000000"/>
                          </a:solidFill>
                          <a:prstDash val="solid"/>
                        </a:ln>
                      </wps:spPr>
                      <wps:txbx>
                        <w:txbxContent>
                          <w:p w14:paraId="524201E8" w14:textId="6F572880"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4E0B4B">
                              <w:rPr>
                                <w:sz w:val="18"/>
                              </w:rPr>
                              <w:t xml:space="preserve">rural </w:t>
                            </w:r>
                            <w:r w:rsidR="00612397">
                              <w:rPr>
                                <w:sz w:val="18"/>
                              </w:rPr>
                              <w:t xml:space="preserve">region </w:t>
                            </w:r>
                            <w:r w:rsidR="004E0B4B">
                              <w:rPr>
                                <w:sz w:val="18"/>
                              </w:rPr>
                              <w:t>counties (</w:t>
                            </w:r>
                            <w:r w:rsidR="004E0B4B" w:rsidRPr="000F0EE7">
                              <w:rPr>
                                <w:b/>
                                <w:sz w:val="18"/>
                              </w:rPr>
                              <w:t>Humboldt, Pershing, Lander, Eureka, Elko, and White Pine</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37FBD719" w14:textId="02B14B8D" w:rsidR="00C36303" w:rsidRPr="000F0EE7" w:rsidRDefault="000F0EE7" w:rsidP="00C36303">
                            <w:pPr>
                              <w:pStyle w:val="ListParagraph"/>
                              <w:numPr>
                                <w:ilvl w:val="0"/>
                                <w:numId w:val="3"/>
                              </w:numPr>
                              <w:rPr>
                                <w:sz w:val="14"/>
                              </w:rPr>
                            </w:pPr>
                            <w:r w:rsidRPr="000F0EE7">
                              <w:rPr>
                                <w:sz w:val="20"/>
                              </w:rPr>
                              <w:t xml:space="preserve">Suspected drug-related ED visit rates </w:t>
                            </w:r>
                            <w:r w:rsidR="00331435" w:rsidRPr="000F0EE7">
                              <w:rPr>
                                <w:sz w:val="20"/>
                                <w:u w:val="single"/>
                              </w:rPr>
                              <w:t xml:space="preserve">increased by approximately </w:t>
                            </w:r>
                            <w:r w:rsidRPr="000F0EE7">
                              <w:rPr>
                                <w:sz w:val="20"/>
                                <w:u w:val="single"/>
                              </w:rPr>
                              <w:t>33</w:t>
                            </w:r>
                            <w:r w:rsidR="00331435" w:rsidRPr="000F0EE7">
                              <w:rPr>
                                <w:sz w:val="20"/>
                                <w:u w:val="single"/>
                              </w:rPr>
                              <w:t>%</w:t>
                            </w:r>
                            <w:r w:rsidR="00331435" w:rsidRPr="000F0EE7">
                              <w:rPr>
                                <w:sz w:val="20"/>
                              </w:rPr>
                              <w:t xml:space="preserve"> from </w:t>
                            </w:r>
                            <w:r w:rsidRPr="000F0EE7">
                              <w:rPr>
                                <w:sz w:val="20"/>
                              </w:rPr>
                              <w:t>July</w:t>
                            </w:r>
                            <w:r w:rsidR="00331435" w:rsidRPr="000F0EE7">
                              <w:rPr>
                                <w:sz w:val="20"/>
                              </w:rPr>
                              <w:t xml:space="preserve"> to </w:t>
                            </w:r>
                            <w:r w:rsidRPr="000F0EE7">
                              <w:rPr>
                                <w:sz w:val="20"/>
                              </w:rPr>
                              <w:t>August</w:t>
                            </w:r>
                            <w:r w:rsidR="00331435" w:rsidRPr="000F0EE7">
                              <w:rPr>
                                <w:sz w:val="20"/>
                              </w:rPr>
                              <w:t xml:space="preserve"> </w:t>
                            </w:r>
                            <w:r w:rsidR="00262B59" w:rsidRPr="000F0EE7">
                              <w:rPr>
                                <w:sz w:val="20"/>
                              </w:rPr>
                              <w:t>2020</w:t>
                            </w:r>
                            <w:r w:rsidR="00C36303" w:rsidRPr="000F0EE7">
                              <w:rPr>
                                <w:sz w:val="20"/>
                              </w:rPr>
                              <w:t xml:space="preserve"> in </w:t>
                            </w:r>
                            <w:r w:rsidRPr="000F0EE7">
                              <w:rPr>
                                <w:sz w:val="20"/>
                              </w:rPr>
                              <w:t>the Rural Region</w:t>
                            </w:r>
                            <w:r w:rsidR="00331435" w:rsidRPr="000F0EE7">
                              <w:rPr>
                                <w:sz w:val="20"/>
                              </w:rPr>
                              <w:t>.</w:t>
                            </w:r>
                          </w:p>
                          <w:p w14:paraId="2F600E4C" w14:textId="450791B6" w:rsidR="00C36303" w:rsidRPr="000F0EE7" w:rsidRDefault="000F0EE7" w:rsidP="000F0EE7">
                            <w:pPr>
                              <w:pStyle w:val="ListParagraph"/>
                              <w:numPr>
                                <w:ilvl w:val="0"/>
                                <w:numId w:val="3"/>
                              </w:numPr>
                              <w:rPr>
                                <w:sz w:val="14"/>
                              </w:rPr>
                            </w:pPr>
                            <w:r w:rsidRPr="000F0EE7">
                              <w:rPr>
                                <w:sz w:val="20"/>
                              </w:rPr>
                              <w:t xml:space="preserve">Suspected drug-related ED visit rates </w:t>
                            </w:r>
                            <w:r w:rsidRPr="000F0EE7">
                              <w:rPr>
                                <w:sz w:val="20"/>
                                <w:u w:val="single"/>
                              </w:rPr>
                              <w:t xml:space="preserve">increased by approximately </w:t>
                            </w:r>
                            <w:r w:rsidRPr="000F0EE7">
                              <w:rPr>
                                <w:sz w:val="20"/>
                                <w:u w:val="single"/>
                              </w:rPr>
                              <w:t>4</w:t>
                            </w:r>
                            <w:r w:rsidRPr="000F0EE7">
                              <w:rPr>
                                <w:sz w:val="20"/>
                                <w:u w:val="single"/>
                              </w:rPr>
                              <w:t>3%</w:t>
                            </w:r>
                            <w:r w:rsidRPr="000F0EE7">
                              <w:rPr>
                                <w:sz w:val="20"/>
                              </w:rPr>
                              <w:t xml:space="preserve"> from August </w:t>
                            </w:r>
                            <w:r w:rsidRPr="000F0EE7">
                              <w:rPr>
                                <w:sz w:val="20"/>
                              </w:rPr>
                              <w:t xml:space="preserve">2019 to August this year in the Rural Region. </w:t>
                            </w:r>
                          </w:p>
                          <w:p w14:paraId="4E6DD9FE" w14:textId="77777777" w:rsidR="000F0EE7" w:rsidRPr="000F0EE7" w:rsidRDefault="000F0EE7" w:rsidP="000F0EE7">
                            <w:pPr>
                              <w:pStyle w:val="ListParagraph"/>
                              <w:rPr>
                                <w:sz w:val="14"/>
                              </w:rPr>
                            </w:pPr>
                          </w:p>
                          <w:p w14:paraId="234DEE6C" w14:textId="473F5E1A" w:rsidR="009A0E33" w:rsidRPr="00612397" w:rsidRDefault="0050201A" w:rsidP="00C01145">
                            <w:r w:rsidRPr="00612397">
                              <w:t>Figure 1. Suspected m</w:t>
                            </w:r>
                            <w:r w:rsidR="009A0E33" w:rsidRPr="00612397">
                              <w:t>onthly rate</w:t>
                            </w:r>
                            <w:r w:rsidRPr="00612397">
                              <w:t>s</w:t>
                            </w:r>
                            <w:r w:rsidR="009A0E33" w:rsidRPr="00612397">
                              <w:t xml:space="preserve"> </w:t>
                            </w:r>
                            <w:r w:rsidR="00952A03" w:rsidRPr="00612397">
                              <w:t>for</w:t>
                            </w:r>
                            <w:r w:rsidRPr="00612397">
                              <w:t xml:space="preserve"> </w:t>
                            </w:r>
                            <w:r w:rsidR="00952A03" w:rsidRPr="00612397">
                              <w:t>drug</w:t>
                            </w:r>
                            <w:r w:rsidR="00E4389F" w:rsidRPr="00612397">
                              <w:t>-</w:t>
                            </w:r>
                            <w:r w:rsidRPr="00612397">
                              <w:t>related</w:t>
                            </w:r>
                            <w:r w:rsidR="00A459DC" w:rsidRPr="00612397">
                              <w:t xml:space="preserve"> </w:t>
                            </w:r>
                            <w:r w:rsidRPr="00612397">
                              <w:t xml:space="preserve">ED </w:t>
                            </w:r>
                            <w:r w:rsidR="00A459DC" w:rsidRPr="00612397">
                              <w:t>visits</w:t>
                            </w:r>
                            <w:r w:rsidRPr="00612397">
                              <w:t xml:space="preserve"> </w:t>
                            </w:r>
                            <w:r w:rsidR="00E4389F" w:rsidRPr="00612397">
                              <w:t xml:space="preserve">in </w:t>
                            </w:r>
                            <w:r w:rsidR="009B63C0" w:rsidRPr="00612397">
                              <w:t>Nevada and</w:t>
                            </w:r>
                            <w:r w:rsidR="00612397" w:rsidRPr="00612397">
                              <w:t xml:space="preserve"> Rural Region</w:t>
                            </w:r>
                            <w:r w:rsidR="00E4389F" w:rsidRPr="00612397">
                              <w:t xml:space="preserve"> </w:t>
                            </w:r>
                            <w:r w:rsidRPr="00612397">
                              <w:t>(per 10,000 population)</w:t>
                            </w:r>
                          </w:p>
                          <w:p w14:paraId="6A52B077" w14:textId="4A2A8924" w:rsidR="00831CF1" w:rsidRPr="00A459DC" w:rsidRDefault="00DA264C" w:rsidP="00C01145">
                            <w:pPr>
                              <w:rPr>
                                <w:b/>
                                <w:sz w:val="28"/>
                                <w:u w:val="single"/>
                              </w:rPr>
                            </w:pPr>
                            <w:r>
                              <w:rPr>
                                <w:noProof/>
                              </w:rPr>
                              <w:drawing>
                                <wp:inline distT="0" distB="0" distL="0" distR="0" wp14:anchorId="5CDBFD79" wp14:editId="6B0ACF92">
                                  <wp:extent cx="7253605" cy="2620370"/>
                                  <wp:effectExtent l="0" t="0" r="4445" b="8890"/>
                                  <wp:docPr id="1" name="Chart 1">
                                    <a:extLst xmlns:a="http://schemas.openxmlformats.org/drawingml/2006/main">
                                      <a:ext uri="{FF2B5EF4-FFF2-40B4-BE49-F238E27FC236}">
                                        <a16:creationId xmlns:a16="http://schemas.microsoft.com/office/drawing/2014/main" id="{D1701FFD-5111-4E7B-8976-8838F9792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5FCBC5FE" w:rsidR="00E4389F" w:rsidRPr="00612397" w:rsidRDefault="00E4389F" w:rsidP="00E4389F">
                            <w:r w:rsidRPr="00612397">
                              <w:t>Figure 2. Suspected rates for drug-related ED visits</w:t>
                            </w:r>
                            <w:r w:rsidR="009B63C0" w:rsidRPr="00612397">
                              <w:t xml:space="preserve"> in Nevada and </w:t>
                            </w:r>
                            <w:r w:rsidR="00612397" w:rsidRPr="00612397">
                              <w:t>Rural Region</w:t>
                            </w:r>
                            <w:r w:rsidRPr="00612397">
                              <w:t xml:space="preserve">, </w:t>
                            </w:r>
                            <w:r w:rsidR="00591C14">
                              <w:t>August</w:t>
                            </w:r>
                            <w:r w:rsidRPr="00612397">
                              <w:t xml:space="preserve"> 2018-2020 (per 10,000 population)</w:t>
                            </w:r>
                          </w:p>
                          <w:p w14:paraId="37492F3B" w14:textId="68F285B3" w:rsidR="00B87DFC" w:rsidRDefault="00DA264C" w:rsidP="00E4389F">
                            <w:pPr>
                              <w:rPr>
                                <w:sz w:val="24"/>
                              </w:rPr>
                            </w:pPr>
                            <w:r>
                              <w:rPr>
                                <w:noProof/>
                              </w:rPr>
                              <w:drawing>
                                <wp:inline distT="0" distB="0" distL="0" distR="0" wp14:anchorId="059D9210" wp14:editId="18B88898">
                                  <wp:extent cx="7233285" cy="2142698"/>
                                  <wp:effectExtent l="0" t="0" r="5715" b="10160"/>
                                  <wp:docPr id="4" name="Chart 4">
                                    <a:extLst xmlns:a="http://schemas.openxmlformats.org/drawingml/2006/main">
                                      <a:ext uri="{FF2B5EF4-FFF2-40B4-BE49-F238E27FC236}">
                                        <a16:creationId xmlns:a16="http://schemas.microsoft.com/office/drawing/2014/main" id="{12E1F5F6-FBAF-4EF5-86D3-56DA9DBB5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28616B4"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437A51">
                              <w:rPr>
                                <w:sz w:val="14"/>
                              </w:rPr>
                              <w:t>10</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C6D967" id="_x0000_s1027" type="#_x0000_t202" style="position:absolute;margin-left:0;margin-top:55.1pt;width:587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" strokeweight=".26467mm">
                <v:textbox>
                  <w:txbxContent>
                    <w:p w14:paraId="524201E8" w14:textId="6F572880"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4E0B4B">
                        <w:rPr>
                          <w:sz w:val="18"/>
                        </w:rPr>
                        <w:t xml:space="preserve">rural </w:t>
                      </w:r>
                      <w:r w:rsidR="00612397">
                        <w:rPr>
                          <w:sz w:val="18"/>
                        </w:rPr>
                        <w:t xml:space="preserve">region </w:t>
                      </w:r>
                      <w:r w:rsidR="004E0B4B">
                        <w:rPr>
                          <w:sz w:val="18"/>
                        </w:rPr>
                        <w:t>counties (</w:t>
                      </w:r>
                      <w:r w:rsidR="004E0B4B" w:rsidRPr="000F0EE7">
                        <w:rPr>
                          <w:b/>
                          <w:sz w:val="18"/>
                        </w:rPr>
                        <w:t>Humboldt, Pershing, Lander, Eureka, Elko, and White Pine</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37FBD719" w14:textId="02B14B8D" w:rsidR="00C36303" w:rsidRPr="000F0EE7" w:rsidRDefault="000F0EE7" w:rsidP="00C36303">
                      <w:pPr>
                        <w:pStyle w:val="ListParagraph"/>
                        <w:numPr>
                          <w:ilvl w:val="0"/>
                          <w:numId w:val="3"/>
                        </w:numPr>
                        <w:rPr>
                          <w:sz w:val="14"/>
                        </w:rPr>
                      </w:pPr>
                      <w:r w:rsidRPr="000F0EE7">
                        <w:rPr>
                          <w:sz w:val="20"/>
                        </w:rPr>
                        <w:t xml:space="preserve">Suspected drug-related ED visit rates </w:t>
                      </w:r>
                      <w:r w:rsidR="00331435" w:rsidRPr="000F0EE7">
                        <w:rPr>
                          <w:sz w:val="20"/>
                          <w:u w:val="single"/>
                        </w:rPr>
                        <w:t xml:space="preserve">increased by approximately </w:t>
                      </w:r>
                      <w:r w:rsidRPr="000F0EE7">
                        <w:rPr>
                          <w:sz w:val="20"/>
                          <w:u w:val="single"/>
                        </w:rPr>
                        <w:t>33</w:t>
                      </w:r>
                      <w:r w:rsidR="00331435" w:rsidRPr="000F0EE7">
                        <w:rPr>
                          <w:sz w:val="20"/>
                          <w:u w:val="single"/>
                        </w:rPr>
                        <w:t>%</w:t>
                      </w:r>
                      <w:r w:rsidR="00331435" w:rsidRPr="000F0EE7">
                        <w:rPr>
                          <w:sz w:val="20"/>
                        </w:rPr>
                        <w:t xml:space="preserve"> from </w:t>
                      </w:r>
                      <w:r w:rsidRPr="000F0EE7">
                        <w:rPr>
                          <w:sz w:val="20"/>
                        </w:rPr>
                        <w:t>July</w:t>
                      </w:r>
                      <w:r w:rsidR="00331435" w:rsidRPr="000F0EE7">
                        <w:rPr>
                          <w:sz w:val="20"/>
                        </w:rPr>
                        <w:t xml:space="preserve"> to </w:t>
                      </w:r>
                      <w:r w:rsidRPr="000F0EE7">
                        <w:rPr>
                          <w:sz w:val="20"/>
                        </w:rPr>
                        <w:t>August</w:t>
                      </w:r>
                      <w:r w:rsidR="00331435" w:rsidRPr="000F0EE7">
                        <w:rPr>
                          <w:sz w:val="20"/>
                        </w:rPr>
                        <w:t xml:space="preserve"> </w:t>
                      </w:r>
                      <w:r w:rsidR="00262B59" w:rsidRPr="000F0EE7">
                        <w:rPr>
                          <w:sz w:val="20"/>
                        </w:rPr>
                        <w:t>2020</w:t>
                      </w:r>
                      <w:r w:rsidR="00C36303" w:rsidRPr="000F0EE7">
                        <w:rPr>
                          <w:sz w:val="20"/>
                        </w:rPr>
                        <w:t xml:space="preserve"> in </w:t>
                      </w:r>
                      <w:r w:rsidRPr="000F0EE7">
                        <w:rPr>
                          <w:sz w:val="20"/>
                        </w:rPr>
                        <w:t>the Rural Region</w:t>
                      </w:r>
                      <w:r w:rsidR="00331435" w:rsidRPr="000F0EE7">
                        <w:rPr>
                          <w:sz w:val="20"/>
                        </w:rPr>
                        <w:t>.</w:t>
                      </w:r>
                    </w:p>
                    <w:p w14:paraId="2F600E4C" w14:textId="450791B6" w:rsidR="00C36303" w:rsidRPr="000F0EE7" w:rsidRDefault="000F0EE7" w:rsidP="000F0EE7">
                      <w:pPr>
                        <w:pStyle w:val="ListParagraph"/>
                        <w:numPr>
                          <w:ilvl w:val="0"/>
                          <w:numId w:val="3"/>
                        </w:numPr>
                        <w:rPr>
                          <w:sz w:val="14"/>
                        </w:rPr>
                      </w:pPr>
                      <w:r w:rsidRPr="000F0EE7">
                        <w:rPr>
                          <w:sz w:val="20"/>
                        </w:rPr>
                        <w:t xml:space="preserve">Suspected drug-related ED visit rates </w:t>
                      </w:r>
                      <w:r w:rsidRPr="000F0EE7">
                        <w:rPr>
                          <w:sz w:val="20"/>
                          <w:u w:val="single"/>
                        </w:rPr>
                        <w:t xml:space="preserve">increased by approximately </w:t>
                      </w:r>
                      <w:r w:rsidRPr="000F0EE7">
                        <w:rPr>
                          <w:sz w:val="20"/>
                          <w:u w:val="single"/>
                        </w:rPr>
                        <w:t>4</w:t>
                      </w:r>
                      <w:r w:rsidRPr="000F0EE7">
                        <w:rPr>
                          <w:sz w:val="20"/>
                          <w:u w:val="single"/>
                        </w:rPr>
                        <w:t>3%</w:t>
                      </w:r>
                      <w:r w:rsidRPr="000F0EE7">
                        <w:rPr>
                          <w:sz w:val="20"/>
                        </w:rPr>
                        <w:t xml:space="preserve"> from August </w:t>
                      </w:r>
                      <w:r w:rsidRPr="000F0EE7">
                        <w:rPr>
                          <w:sz w:val="20"/>
                        </w:rPr>
                        <w:t xml:space="preserve">2019 to August this year in the Rural Region. </w:t>
                      </w:r>
                    </w:p>
                    <w:p w14:paraId="4E6DD9FE" w14:textId="77777777" w:rsidR="000F0EE7" w:rsidRPr="000F0EE7" w:rsidRDefault="000F0EE7" w:rsidP="000F0EE7">
                      <w:pPr>
                        <w:pStyle w:val="ListParagraph"/>
                        <w:rPr>
                          <w:sz w:val="14"/>
                        </w:rPr>
                      </w:pPr>
                    </w:p>
                    <w:p w14:paraId="234DEE6C" w14:textId="473F5E1A" w:rsidR="009A0E33" w:rsidRPr="00612397" w:rsidRDefault="0050201A" w:rsidP="00C01145">
                      <w:r w:rsidRPr="00612397">
                        <w:t>Figure 1. Suspected m</w:t>
                      </w:r>
                      <w:r w:rsidR="009A0E33" w:rsidRPr="00612397">
                        <w:t>onthly rate</w:t>
                      </w:r>
                      <w:r w:rsidRPr="00612397">
                        <w:t>s</w:t>
                      </w:r>
                      <w:r w:rsidR="009A0E33" w:rsidRPr="00612397">
                        <w:t xml:space="preserve"> </w:t>
                      </w:r>
                      <w:r w:rsidR="00952A03" w:rsidRPr="00612397">
                        <w:t>for</w:t>
                      </w:r>
                      <w:r w:rsidRPr="00612397">
                        <w:t xml:space="preserve"> </w:t>
                      </w:r>
                      <w:r w:rsidR="00952A03" w:rsidRPr="00612397">
                        <w:t>drug</w:t>
                      </w:r>
                      <w:r w:rsidR="00E4389F" w:rsidRPr="00612397">
                        <w:t>-</w:t>
                      </w:r>
                      <w:r w:rsidRPr="00612397">
                        <w:t>related</w:t>
                      </w:r>
                      <w:r w:rsidR="00A459DC" w:rsidRPr="00612397">
                        <w:t xml:space="preserve"> </w:t>
                      </w:r>
                      <w:r w:rsidRPr="00612397">
                        <w:t xml:space="preserve">ED </w:t>
                      </w:r>
                      <w:r w:rsidR="00A459DC" w:rsidRPr="00612397">
                        <w:t>visits</w:t>
                      </w:r>
                      <w:r w:rsidRPr="00612397">
                        <w:t xml:space="preserve"> </w:t>
                      </w:r>
                      <w:r w:rsidR="00E4389F" w:rsidRPr="00612397">
                        <w:t xml:space="preserve">in </w:t>
                      </w:r>
                      <w:r w:rsidR="009B63C0" w:rsidRPr="00612397">
                        <w:t>Nevada and</w:t>
                      </w:r>
                      <w:r w:rsidR="00612397" w:rsidRPr="00612397">
                        <w:t xml:space="preserve"> Rural Region</w:t>
                      </w:r>
                      <w:r w:rsidR="00E4389F" w:rsidRPr="00612397">
                        <w:t xml:space="preserve"> </w:t>
                      </w:r>
                      <w:r w:rsidRPr="00612397">
                        <w:t>(per 10,000 population)</w:t>
                      </w:r>
                    </w:p>
                    <w:p w14:paraId="6A52B077" w14:textId="4A2A8924" w:rsidR="00831CF1" w:rsidRPr="00A459DC" w:rsidRDefault="00DA264C" w:rsidP="00C01145">
                      <w:pPr>
                        <w:rPr>
                          <w:b/>
                          <w:sz w:val="28"/>
                          <w:u w:val="single"/>
                        </w:rPr>
                      </w:pPr>
                      <w:r>
                        <w:rPr>
                          <w:noProof/>
                        </w:rPr>
                        <w:drawing>
                          <wp:inline distT="0" distB="0" distL="0" distR="0" wp14:anchorId="5CDBFD79" wp14:editId="6B0ACF92">
                            <wp:extent cx="7253605" cy="2620370"/>
                            <wp:effectExtent l="0" t="0" r="4445" b="8890"/>
                            <wp:docPr id="1" name="Chart 1">
                              <a:extLst xmlns:a="http://schemas.openxmlformats.org/drawingml/2006/main">
                                <a:ext uri="{FF2B5EF4-FFF2-40B4-BE49-F238E27FC236}">
                                  <a16:creationId xmlns:a16="http://schemas.microsoft.com/office/drawing/2014/main" id="{D1701FFD-5111-4E7B-8976-8838F9792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5FCBC5FE" w:rsidR="00E4389F" w:rsidRPr="00612397" w:rsidRDefault="00E4389F" w:rsidP="00E4389F">
                      <w:r w:rsidRPr="00612397">
                        <w:t>Figure 2. Suspected rates for drug-related ED visits</w:t>
                      </w:r>
                      <w:r w:rsidR="009B63C0" w:rsidRPr="00612397">
                        <w:t xml:space="preserve"> in Nevada and </w:t>
                      </w:r>
                      <w:r w:rsidR="00612397" w:rsidRPr="00612397">
                        <w:t>Rural Region</w:t>
                      </w:r>
                      <w:r w:rsidRPr="00612397">
                        <w:t xml:space="preserve">, </w:t>
                      </w:r>
                      <w:r w:rsidR="00591C14">
                        <w:t>August</w:t>
                      </w:r>
                      <w:r w:rsidRPr="00612397">
                        <w:t xml:space="preserve"> 2018-2020 (per 10,000 population)</w:t>
                      </w:r>
                    </w:p>
                    <w:p w14:paraId="37492F3B" w14:textId="68F285B3" w:rsidR="00B87DFC" w:rsidRDefault="00DA264C" w:rsidP="00E4389F">
                      <w:pPr>
                        <w:rPr>
                          <w:sz w:val="24"/>
                        </w:rPr>
                      </w:pPr>
                      <w:r>
                        <w:rPr>
                          <w:noProof/>
                        </w:rPr>
                        <w:drawing>
                          <wp:inline distT="0" distB="0" distL="0" distR="0" wp14:anchorId="059D9210" wp14:editId="18B88898">
                            <wp:extent cx="7233285" cy="2142698"/>
                            <wp:effectExtent l="0" t="0" r="5715" b="10160"/>
                            <wp:docPr id="4" name="Chart 4">
                              <a:extLst xmlns:a="http://schemas.openxmlformats.org/drawingml/2006/main">
                                <a:ext uri="{FF2B5EF4-FFF2-40B4-BE49-F238E27FC236}">
                                  <a16:creationId xmlns:a16="http://schemas.microsoft.com/office/drawing/2014/main" id="{12E1F5F6-FBAF-4EF5-86D3-56DA9DBB5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28616B4"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437A51">
                        <w:rPr>
                          <w:sz w:val="14"/>
                        </w:rPr>
                        <w:t>10</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sidR="009A0E33">
        <w:tab/>
      </w:r>
    </w:p>
    <w:p w14:paraId="55F2E736" w14:textId="6E897401" w:rsidR="00490DE9" w:rsidRDefault="002B230C" w:rsidP="004E0B4B">
      <w:pPr>
        <w:pStyle w:val="YourNameInDocument"/>
        <w:tabs>
          <w:tab w:val="left" w:pos="4275"/>
          <w:tab w:val="left" w:pos="4470"/>
        </w:tabs>
      </w:pPr>
      <w:r>
        <w:tab/>
      </w:r>
      <w:r w:rsidR="004E0B4B">
        <w:tab/>
      </w:r>
    </w:p>
    <w:p w14:paraId="6C076EAC" w14:textId="76F91F62" w:rsidR="009A0E33" w:rsidRDefault="00C36303" w:rsidP="00867E7B">
      <w:pPr>
        <w:pStyle w:val="Heading1"/>
        <w:rPr>
          <w:sz w:val="24"/>
        </w:rPr>
      </w:pPr>
      <w:r>
        <w:rPr>
          <w:noProof/>
        </w:rPr>
        <mc:AlternateContent>
          <mc:Choice Requires="wps">
            <w:drawing>
              <wp:anchor distT="0" distB="0" distL="114300" distR="114300" simplePos="0" relativeHeight="251667455" behindDoc="1" locked="0" layoutInCell="1" allowOverlap="1" wp14:anchorId="7CD407F3" wp14:editId="6E9AE490">
                <wp:simplePos x="0" y="0"/>
                <wp:positionH relativeFrom="column">
                  <wp:posOffset>28660</wp:posOffset>
                </wp:positionH>
                <wp:positionV relativeFrom="paragraph">
                  <wp:posOffset>156722</wp:posOffset>
                </wp:positionV>
                <wp:extent cx="7397750" cy="627797"/>
                <wp:effectExtent l="0" t="0" r="12700" b="20320"/>
                <wp:wrapNone/>
                <wp:docPr id="27" name="Rectangle: Rounded Corners 27"/>
                <wp:cNvGraphicFramePr/>
                <a:graphic xmlns:a="http://schemas.openxmlformats.org/drawingml/2006/main">
                  <a:graphicData uri="http://schemas.microsoft.com/office/word/2010/wordprocessingShape">
                    <wps:wsp>
                      <wps:cNvSpPr/>
                      <wps:spPr>
                        <a:xfrm>
                          <a:off x="0" y="0"/>
                          <a:ext cx="7397750" cy="62779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67F4E" id="Rectangle: Rounded Corners 27" o:spid="_x0000_s1026" style="position:absolute;margin-left:2.25pt;margin-top:12.35pt;width:582.5pt;height:49.4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" filled="f" strokecolor="#1f3763 [1604]" strokeweight="1pt">
                <v:stroke joinstyle="miter"/>
              </v:roundrect>
            </w:pict>
          </mc:Fallback>
        </mc:AlternateContent>
      </w: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bookmarkStart w:id="0" w:name="_GoBack"/>
      <w:bookmarkEnd w:id="0"/>
    </w:p>
    <w:p w14:paraId="37F8CB1F" w14:textId="5E952DFD" w:rsidR="009A0E33" w:rsidRDefault="009A0E33" w:rsidP="009A0E33"/>
    <w:p w14:paraId="1C1238ED" w14:textId="08EB7132" w:rsidR="009A0E33" w:rsidRDefault="009A0E33" w:rsidP="009A0E33"/>
    <w:p w14:paraId="4B624FDF" w14:textId="57C4A370" w:rsidR="009A0E33" w:rsidRDefault="009A0E33" w:rsidP="009A0E33"/>
    <w:p w14:paraId="2DBEED75" w14:textId="10A87F51" w:rsidR="009A0E33" w:rsidRDefault="009A0E33" w:rsidP="009A0E33"/>
    <w:p w14:paraId="2B2909CA" w14:textId="6069492C" w:rsidR="009A0E33" w:rsidRDefault="009A0E33" w:rsidP="009A0E33"/>
    <w:p w14:paraId="4228FF11" w14:textId="0729B147" w:rsidR="009A0E33" w:rsidRDefault="009A0E33" w:rsidP="00D2174F">
      <w:pPr>
        <w:tabs>
          <w:tab w:val="left" w:pos="3990"/>
        </w:tabs>
      </w:pPr>
    </w:p>
    <w:p w14:paraId="2EE69F84" w14:textId="60825C06" w:rsidR="009A0E33" w:rsidRDefault="009A0E33" w:rsidP="009A0E33"/>
    <w:p w14:paraId="0411408E" w14:textId="24E62A0E" w:rsidR="009A0E33" w:rsidRDefault="009A0E33" w:rsidP="009A0E33"/>
    <w:p w14:paraId="2CE823D8" w14:textId="60B3D741" w:rsidR="009A0E33" w:rsidRDefault="009A0E33" w:rsidP="009A0E33"/>
    <w:p w14:paraId="6E55C4E2" w14:textId="6B6EFDFF" w:rsidR="009A0E33" w:rsidRDefault="009A0E33" w:rsidP="009A0E33"/>
    <w:p w14:paraId="11A6EB69" w14:textId="7F5A26C2" w:rsidR="009D4A34" w:rsidRPr="00E4389F" w:rsidRDefault="009D4A34" w:rsidP="00E4389F"/>
    <w:p w14:paraId="31687531" w14:textId="408DD943" w:rsidR="001B2733" w:rsidRDefault="009B63C0" w:rsidP="005E6909">
      <w:pPr>
        <w:pStyle w:val="Heading1"/>
      </w:pPr>
      <w:r>
        <w:rPr>
          <w:noProof/>
        </w:rPr>
        <mc:AlternateContent>
          <mc:Choice Requires="wps">
            <w:drawing>
              <wp:anchor distT="0" distB="0" distL="114300" distR="114300" simplePos="0" relativeHeight="251668480" behindDoc="1" locked="0" layoutInCell="1" allowOverlap="1" wp14:anchorId="2D857F48" wp14:editId="1FE388FC">
                <wp:simplePos x="0" y="0"/>
                <wp:positionH relativeFrom="margin">
                  <wp:align>left</wp:align>
                </wp:positionH>
                <wp:positionV relativeFrom="margin">
                  <wp:posOffset>8699500</wp:posOffset>
                </wp:positionV>
                <wp:extent cx="7442200" cy="984885"/>
                <wp:effectExtent l="0" t="0" r="25400" b="24765"/>
                <wp:wrapTight wrapText="bothSides">
                  <wp:wrapPolygon edited="0">
                    <wp:start x="0" y="0"/>
                    <wp:lineTo x="0" y="21725"/>
                    <wp:lineTo x="21618" y="21725"/>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984885"/>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9"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14489874">
                                  <wp:extent cx="1107611" cy="512222"/>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255" cy="536568"/>
                                          </a:xfrm>
                                          <a:prstGeom prst="rect">
                                            <a:avLst/>
                                          </a:prstGeom>
                                          <a:noFill/>
                                          <a:ln>
                                            <a:noFill/>
                                          </a:ln>
                                        </pic:spPr>
                                      </pic:pic>
                                    </a:graphicData>
                                  </a:graphic>
                                </wp:inline>
                              </w:drawing>
                            </w:r>
                            <w:r>
                              <w:rPr>
                                <w:noProof/>
                              </w:rPr>
                              <w:t xml:space="preserve">                 </w:t>
                            </w:r>
                            <w:r>
                              <w:rPr>
                                <w:noProof/>
                              </w:rPr>
                              <w:drawing>
                                <wp:inline distT="0" distB="0" distL="0" distR="0" wp14:anchorId="0C0FAF2A" wp14:editId="00CAE07B">
                                  <wp:extent cx="1197965" cy="502953"/>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9077" cy="562197"/>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28" type="#_x0000_t202" style="position:absolute;margin-left:0;margin-top:685pt;width:586pt;height:77.55pt;z-index:-2516480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2"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14489874">
                            <wp:extent cx="1107611" cy="512222"/>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255" cy="536568"/>
                                    </a:xfrm>
                                    <a:prstGeom prst="rect">
                                      <a:avLst/>
                                    </a:prstGeom>
                                    <a:noFill/>
                                    <a:ln>
                                      <a:noFill/>
                                    </a:ln>
                                  </pic:spPr>
                                </pic:pic>
                              </a:graphicData>
                            </a:graphic>
                          </wp:inline>
                        </w:drawing>
                      </w:r>
                      <w:r>
                        <w:rPr>
                          <w:noProof/>
                        </w:rPr>
                        <w:t xml:space="preserve">                 </w:t>
                      </w:r>
                      <w:r>
                        <w:rPr>
                          <w:noProof/>
                        </w:rPr>
                        <w:drawing>
                          <wp:inline distT="0" distB="0" distL="0" distR="0" wp14:anchorId="0C0FAF2A" wp14:editId="00CAE07B">
                            <wp:extent cx="1197965" cy="502953"/>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9077" cy="562197"/>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margin"/>
              </v:shape>
            </w:pict>
          </mc:Fallback>
        </mc:AlternateContent>
      </w:r>
    </w:p>
    <w:sectPr w:rsidR="001B2733">
      <w:footerReference w:type="default" r:id="rId13"/>
      <w:pgSz w:w="12240" w:h="15840"/>
      <w:pgMar w:top="288" w:right="288" w:bottom="288" w:left="288" w:header="216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2291" w16cex:dateUtc="2020-08-20T0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16F7" w14:textId="77777777" w:rsidR="008D6A75" w:rsidRDefault="008D6A75">
      <w:pPr>
        <w:spacing w:after="0" w:line="240" w:lineRule="auto"/>
      </w:pPr>
      <w:r>
        <w:separator/>
      </w:r>
    </w:p>
  </w:endnote>
  <w:endnote w:type="continuationSeparator" w:id="0">
    <w:p w14:paraId="16EAF613" w14:textId="77777777" w:rsidR="008D6A75" w:rsidRDefault="008D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2D6AC11A" w:rsidR="00094CF6" w:rsidRDefault="00C0114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211F" w14:textId="77777777" w:rsidR="008D6A75" w:rsidRDefault="008D6A75">
      <w:pPr>
        <w:spacing w:after="0" w:line="240" w:lineRule="auto"/>
      </w:pPr>
      <w:r>
        <w:separator/>
      </w:r>
    </w:p>
  </w:footnote>
  <w:footnote w:type="continuationSeparator" w:id="0">
    <w:p w14:paraId="1E18DB07" w14:textId="77777777" w:rsidR="008D6A75" w:rsidRDefault="008D6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619F6"/>
    <w:multiLevelType w:val="hybridMultilevel"/>
    <w:tmpl w:val="330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97"/>
    <w:rsid w:val="000057F9"/>
    <w:rsid w:val="0000752F"/>
    <w:rsid w:val="00067ED6"/>
    <w:rsid w:val="000756AF"/>
    <w:rsid w:val="00090053"/>
    <w:rsid w:val="00090367"/>
    <w:rsid w:val="000959F9"/>
    <w:rsid w:val="000A5F64"/>
    <w:rsid w:val="000C5BB0"/>
    <w:rsid w:val="000D5B45"/>
    <w:rsid w:val="000F0EE7"/>
    <w:rsid w:val="000F6073"/>
    <w:rsid w:val="000F6DB6"/>
    <w:rsid w:val="00113CDC"/>
    <w:rsid w:val="00135E48"/>
    <w:rsid w:val="00145F4C"/>
    <w:rsid w:val="00150656"/>
    <w:rsid w:val="00151F94"/>
    <w:rsid w:val="00181C25"/>
    <w:rsid w:val="00195DC4"/>
    <w:rsid w:val="001A0A63"/>
    <w:rsid w:val="001E4509"/>
    <w:rsid w:val="001E6B22"/>
    <w:rsid w:val="001F15CA"/>
    <w:rsid w:val="0024085C"/>
    <w:rsid w:val="00241C6E"/>
    <w:rsid w:val="00246B1D"/>
    <w:rsid w:val="00262B59"/>
    <w:rsid w:val="002A4D71"/>
    <w:rsid w:val="002B230C"/>
    <w:rsid w:val="002B3D3A"/>
    <w:rsid w:val="002C0A70"/>
    <w:rsid w:val="002C6F10"/>
    <w:rsid w:val="002D224C"/>
    <w:rsid w:val="003022C6"/>
    <w:rsid w:val="00307578"/>
    <w:rsid w:val="00321167"/>
    <w:rsid w:val="00331435"/>
    <w:rsid w:val="00354E5D"/>
    <w:rsid w:val="0040474E"/>
    <w:rsid w:val="00433027"/>
    <w:rsid w:val="00437A51"/>
    <w:rsid w:val="00455898"/>
    <w:rsid w:val="00472D4F"/>
    <w:rsid w:val="00490DE9"/>
    <w:rsid w:val="004B60D7"/>
    <w:rsid w:val="004B6431"/>
    <w:rsid w:val="004C7A95"/>
    <w:rsid w:val="004D00BF"/>
    <w:rsid w:val="004E0B4B"/>
    <w:rsid w:val="004E4882"/>
    <w:rsid w:val="0050201A"/>
    <w:rsid w:val="00506F86"/>
    <w:rsid w:val="00530318"/>
    <w:rsid w:val="005405B2"/>
    <w:rsid w:val="005873A5"/>
    <w:rsid w:val="00590999"/>
    <w:rsid w:val="00591C14"/>
    <w:rsid w:val="005934C9"/>
    <w:rsid w:val="005A2D17"/>
    <w:rsid w:val="005A4DA9"/>
    <w:rsid w:val="005A6CC6"/>
    <w:rsid w:val="005C2C3F"/>
    <w:rsid w:val="005C4D6B"/>
    <w:rsid w:val="005E6909"/>
    <w:rsid w:val="005F6215"/>
    <w:rsid w:val="006119AD"/>
    <w:rsid w:val="00612397"/>
    <w:rsid w:val="0062379B"/>
    <w:rsid w:val="00633DCC"/>
    <w:rsid w:val="0067274B"/>
    <w:rsid w:val="00692A8F"/>
    <w:rsid w:val="006A3901"/>
    <w:rsid w:val="006D16F4"/>
    <w:rsid w:val="006D2B50"/>
    <w:rsid w:val="006D3E78"/>
    <w:rsid w:val="00721D3A"/>
    <w:rsid w:val="007220B6"/>
    <w:rsid w:val="007336EB"/>
    <w:rsid w:val="00767C2B"/>
    <w:rsid w:val="007C0995"/>
    <w:rsid w:val="007D4A80"/>
    <w:rsid w:val="007E4C2E"/>
    <w:rsid w:val="0082289F"/>
    <w:rsid w:val="00831CF1"/>
    <w:rsid w:val="00867E7B"/>
    <w:rsid w:val="008733DE"/>
    <w:rsid w:val="00873F9D"/>
    <w:rsid w:val="00895563"/>
    <w:rsid w:val="008A2A62"/>
    <w:rsid w:val="008B02F5"/>
    <w:rsid w:val="008B0C22"/>
    <w:rsid w:val="008C601D"/>
    <w:rsid w:val="008C7B91"/>
    <w:rsid w:val="008D18E6"/>
    <w:rsid w:val="008D1E72"/>
    <w:rsid w:val="008D6A75"/>
    <w:rsid w:val="0092095A"/>
    <w:rsid w:val="00942439"/>
    <w:rsid w:val="00952A03"/>
    <w:rsid w:val="00963CF9"/>
    <w:rsid w:val="00966FDA"/>
    <w:rsid w:val="009A0E33"/>
    <w:rsid w:val="009A669E"/>
    <w:rsid w:val="009B63C0"/>
    <w:rsid w:val="009D4654"/>
    <w:rsid w:val="009D4A34"/>
    <w:rsid w:val="009E2A45"/>
    <w:rsid w:val="009E7495"/>
    <w:rsid w:val="009F7242"/>
    <w:rsid w:val="00A435CB"/>
    <w:rsid w:val="00A459DC"/>
    <w:rsid w:val="00A55EAC"/>
    <w:rsid w:val="00A7384A"/>
    <w:rsid w:val="00A7583A"/>
    <w:rsid w:val="00A87461"/>
    <w:rsid w:val="00A94665"/>
    <w:rsid w:val="00AA26A1"/>
    <w:rsid w:val="00AE4B43"/>
    <w:rsid w:val="00B03065"/>
    <w:rsid w:val="00B12B9B"/>
    <w:rsid w:val="00B1644A"/>
    <w:rsid w:val="00B4034D"/>
    <w:rsid w:val="00B54239"/>
    <w:rsid w:val="00B66860"/>
    <w:rsid w:val="00B87DFC"/>
    <w:rsid w:val="00BB6E5F"/>
    <w:rsid w:val="00BD7D16"/>
    <w:rsid w:val="00C01145"/>
    <w:rsid w:val="00C10C29"/>
    <w:rsid w:val="00C11C7E"/>
    <w:rsid w:val="00C36303"/>
    <w:rsid w:val="00C46807"/>
    <w:rsid w:val="00C724A6"/>
    <w:rsid w:val="00C7634C"/>
    <w:rsid w:val="00CA4DA6"/>
    <w:rsid w:val="00CB1B7C"/>
    <w:rsid w:val="00CB5226"/>
    <w:rsid w:val="00CD5332"/>
    <w:rsid w:val="00D2174F"/>
    <w:rsid w:val="00D3726A"/>
    <w:rsid w:val="00D51929"/>
    <w:rsid w:val="00D7359C"/>
    <w:rsid w:val="00D80A75"/>
    <w:rsid w:val="00D902DD"/>
    <w:rsid w:val="00D95D04"/>
    <w:rsid w:val="00DA264C"/>
    <w:rsid w:val="00DA698B"/>
    <w:rsid w:val="00DF0827"/>
    <w:rsid w:val="00E12385"/>
    <w:rsid w:val="00E311EF"/>
    <w:rsid w:val="00E4389F"/>
    <w:rsid w:val="00E5592B"/>
    <w:rsid w:val="00E72DF5"/>
    <w:rsid w:val="00E945C8"/>
    <w:rsid w:val="00EB6277"/>
    <w:rsid w:val="00EB6A28"/>
    <w:rsid w:val="00ED6F3B"/>
    <w:rsid w:val="00F06283"/>
    <w:rsid w:val="00F1366A"/>
    <w:rsid w:val="00F21C1C"/>
    <w:rsid w:val="00F26996"/>
    <w:rsid w:val="00F3363E"/>
    <w:rsid w:val="00F54A4E"/>
    <w:rsid w:val="00F624C1"/>
    <w:rsid w:val="00F70514"/>
    <w:rsid w:val="00F72C93"/>
    <w:rsid w:val="00F863F1"/>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E43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hawnt@u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hawnt@unr.edu"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'Rural Region'!$B$2</c:f>
              <c:strCache>
                <c:ptCount val="1"/>
                <c:pt idx="0">
                  <c:v>Nevada</c:v>
                </c:pt>
              </c:strCache>
            </c:strRef>
          </c:tx>
          <c:spPr>
            <a:ln w="28575" cap="rnd">
              <a:solidFill>
                <a:schemeClr val="accent5">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Region'!$A$3:$A$10</c:f>
              <c:strCache>
                <c:ptCount val="8"/>
                <c:pt idx="0">
                  <c:v> Jan-20</c:v>
                </c:pt>
                <c:pt idx="1">
                  <c:v> Feb-20</c:v>
                </c:pt>
                <c:pt idx="2">
                  <c:v> Mar-20</c:v>
                </c:pt>
                <c:pt idx="3">
                  <c:v> Apr-20</c:v>
                </c:pt>
                <c:pt idx="4">
                  <c:v> May-20</c:v>
                </c:pt>
                <c:pt idx="5">
                  <c:v> Jun-20</c:v>
                </c:pt>
                <c:pt idx="6">
                  <c:v> Jul-20</c:v>
                </c:pt>
                <c:pt idx="7">
                  <c:v> Aug-20</c:v>
                </c:pt>
              </c:strCache>
            </c:strRef>
          </c:cat>
          <c:val>
            <c:numRef>
              <c:f>'Rural Region'!$B$3:$B$10</c:f>
              <c:numCache>
                <c:formatCode>0.0</c:formatCode>
                <c:ptCount val="8"/>
                <c:pt idx="0">
                  <c:v>2.4512987012987013</c:v>
                </c:pt>
                <c:pt idx="1">
                  <c:v>2.25</c:v>
                </c:pt>
                <c:pt idx="2">
                  <c:v>2.0129870129870131</c:v>
                </c:pt>
                <c:pt idx="3">
                  <c:v>1.9772727272727273</c:v>
                </c:pt>
                <c:pt idx="4">
                  <c:v>2.4610389610389611</c:v>
                </c:pt>
                <c:pt idx="5">
                  <c:v>2.3149350649350651</c:v>
                </c:pt>
                <c:pt idx="6">
                  <c:v>2.4285714285714284</c:v>
                </c:pt>
                <c:pt idx="7">
                  <c:v>2.5584415584415585</c:v>
                </c:pt>
              </c:numCache>
            </c:numRef>
          </c:val>
          <c:smooth val="0"/>
          <c:extLst>
            <c:ext xmlns:c16="http://schemas.microsoft.com/office/drawing/2014/chart" uri="{C3380CC4-5D6E-409C-BE32-E72D297353CC}">
              <c16:uniqueId val="{00000000-7A23-4D09-A711-F8DF7CFAC1BE}"/>
            </c:ext>
          </c:extLst>
        </c:ser>
        <c:ser>
          <c:idx val="1"/>
          <c:order val="1"/>
          <c:tx>
            <c:strRef>
              <c:f>'Rural Region'!$C$2</c:f>
              <c:strCache>
                <c:ptCount val="1"/>
                <c:pt idx="0">
                  <c:v>Rural Region</c:v>
                </c:pt>
              </c:strCache>
            </c:strRef>
          </c:tx>
          <c:spPr>
            <a:ln w="28575" cap="rnd">
              <a:solidFill>
                <a:schemeClr val="accent5">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Region'!$A$3:$A$10</c:f>
              <c:strCache>
                <c:ptCount val="8"/>
                <c:pt idx="0">
                  <c:v> Jan-20</c:v>
                </c:pt>
                <c:pt idx="1">
                  <c:v> Feb-20</c:v>
                </c:pt>
                <c:pt idx="2">
                  <c:v> Mar-20</c:v>
                </c:pt>
                <c:pt idx="3">
                  <c:v> Apr-20</c:v>
                </c:pt>
                <c:pt idx="4">
                  <c:v> May-20</c:v>
                </c:pt>
                <c:pt idx="5">
                  <c:v> Jun-20</c:v>
                </c:pt>
                <c:pt idx="6">
                  <c:v> Jul-20</c:v>
                </c:pt>
                <c:pt idx="7">
                  <c:v> Aug-20</c:v>
                </c:pt>
              </c:strCache>
            </c:strRef>
          </c:cat>
          <c:val>
            <c:numRef>
              <c:f>'Rural Region'!$C$3:$C$10</c:f>
              <c:numCache>
                <c:formatCode>0.0</c:formatCode>
                <c:ptCount val="8"/>
                <c:pt idx="0">
                  <c:v>1.3925487927673159</c:v>
                </c:pt>
                <c:pt idx="1">
                  <c:v>0.85695310324142504</c:v>
                </c:pt>
                <c:pt idx="2">
                  <c:v>1.3925487927673159</c:v>
                </c:pt>
                <c:pt idx="3">
                  <c:v>1.1783105169569597</c:v>
                </c:pt>
                <c:pt idx="4">
                  <c:v>1.1783105169569597</c:v>
                </c:pt>
                <c:pt idx="5">
                  <c:v>1.1783105169569597</c:v>
                </c:pt>
                <c:pt idx="6">
                  <c:v>1.499667930672494</c:v>
                </c:pt>
                <c:pt idx="7">
                  <c:v>2.0352636201983847</c:v>
                </c:pt>
              </c:numCache>
            </c:numRef>
          </c:val>
          <c:smooth val="0"/>
          <c:extLst>
            <c:ext xmlns:c16="http://schemas.microsoft.com/office/drawing/2014/chart" uri="{C3380CC4-5D6E-409C-BE32-E72D297353CC}">
              <c16:uniqueId val="{00000001-7A23-4D09-A711-F8DF7CFAC1BE}"/>
            </c:ext>
          </c:extLst>
        </c:ser>
        <c:dLbls>
          <c:dLblPos val="t"/>
          <c:showLegendKey val="0"/>
          <c:showVal val="1"/>
          <c:showCatName val="0"/>
          <c:showSerName val="0"/>
          <c:showPercent val="0"/>
          <c:showBubbleSize val="0"/>
        </c:dLbls>
        <c:smooth val="0"/>
        <c:axId val="532667984"/>
        <c:axId val="532668968"/>
      </c:lineChart>
      <c:catAx>
        <c:axId val="53266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68968"/>
        <c:crosses val="autoZero"/>
        <c:auto val="1"/>
        <c:lblAlgn val="ctr"/>
        <c:lblOffset val="100"/>
        <c:noMultiLvlLbl val="0"/>
      </c:catAx>
      <c:valAx>
        <c:axId val="53266896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6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'Rural Region'!$B$12</c:f>
              <c:strCache>
                <c:ptCount val="1"/>
                <c:pt idx="0">
                  <c:v>Nevada</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Region'!$A$13:$A$15</c:f>
              <c:strCache>
                <c:ptCount val="3"/>
                <c:pt idx="0">
                  <c:v> Aug-18</c:v>
                </c:pt>
                <c:pt idx="1">
                  <c:v> Aug-19</c:v>
                </c:pt>
                <c:pt idx="2">
                  <c:v> Aug-20</c:v>
                </c:pt>
              </c:strCache>
            </c:strRef>
          </c:cat>
          <c:val>
            <c:numRef>
              <c:f>'Rural Region'!$B$13:$B$15</c:f>
              <c:numCache>
                <c:formatCode>0.0</c:formatCode>
                <c:ptCount val="3"/>
                <c:pt idx="0">
                  <c:v>2</c:v>
                </c:pt>
                <c:pt idx="1">
                  <c:v>2.2999999999999998</c:v>
                </c:pt>
                <c:pt idx="2">
                  <c:v>2.6</c:v>
                </c:pt>
              </c:numCache>
            </c:numRef>
          </c:val>
          <c:extLst>
            <c:ext xmlns:c16="http://schemas.microsoft.com/office/drawing/2014/chart" uri="{C3380CC4-5D6E-409C-BE32-E72D297353CC}">
              <c16:uniqueId val="{00000000-BD63-438F-95C1-0B5CA3157FDB}"/>
            </c:ext>
          </c:extLst>
        </c:ser>
        <c:ser>
          <c:idx val="1"/>
          <c:order val="1"/>
          <c:tx>
            <c:strRef>
              <c:f>'Rural Region'!$C$12</c:f>
              <c:strCache>
                <c:ptCount val="1"/>
                <c:pt idx="0">
                  <c:v>Rural Region</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'Rural Region'!$A$13:$A$15</c:f>
              <c:strCache>
                <c:ptCount val="3"/>
                <c:pt idx="0">
                  <c:v> Aug-18</c:v>
                </c:pt>
                <c:pt idx="1">
                  <c:v> Aug-19</c:v>
                </c:pt>
                <c:pt idx="2">
                  <c:v> Aug-20</c:v>
                </c:pt>
              </c:strCache>
            </c:strRef>
          </c:cat>
          <c:val>
            <c:numRef>
              <c:f>'Rural Region'!$C$13:$C$15</c:f>
              <c:numCache>
                <c:formatCode>0.0</c:formatCode>
                <c:ptCount val="3"/>
                <c:pt idx="0">
                  <c:v>1.4</c:v>
                </c:pt>
                <c:pt idx="1">
                  <c:v>1.4</c:v>
                </c:pt>
                <c:pt idx="2">
                  <c:v>2</c:v>
                </c:pt>
              </c:numCache>
            </c:numRef>
          </c:val>
          <c:extLst>
            <c:ext xmlns:c16="http://schemas.microsoft.com/office/drawing/2014/chart" uri="{C3380CC4-5D6E-409C-BE32-E72D297353CC}">
              <c16:uniqueId val="{00000001-BD63-438F-95C1-0B5CA3157FDB}"/>
            </c:ext>
          </c:extLst>
        </c:ser>
        <c:dLbls>
          <c:dLblPos val="outEnd"/>
          <c:showLegendKey val="0"/>
          <c:showVal val="1"/>
          <c:showCatName val="0"/>
          <c:showSerName val="0"/>
          <c:showPercent val="0"/>
          <c:showBubbleSize val="0"/>
        </c:dLbls>
        <c:gapWidth val="219"/>
        <c:overlap val="-27"/>
        <c:axId val="575040656"/>
        <c:axId val="575034424"/>
      </c:barChart>
      <c:catAx>
        <c:axId val="5750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34424"/>
        <c:crosses val="autoZero"/>
        <c:auto val="1"/>
        <c:lblAlgn val="ctr"/>
        <c:lblOffset val="100"/>
        <c:noMultiLvlLbl val="0"/>
      </c:catAx>
      <c:valAx>
        <c:axId val="57503442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4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10</cp:revision>
  <cp:lastPrinted>2020-03-30T21:40:00Z</cp:lastPrinted>
  <dcterms:created xsi:type="dcterms:W3CDTF">2020-09-11T18:20:00Z</dcterms:created>
  <dcterms:modified xsi:type="dcterms:W3CDTF">2020-09-17T18:05:00Z</dcterms:modified>
</cp:coreProperties>
</file>