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45632" w14:textId="73F1224F" w:rsidR="00C01145" w:rsidRDefault="009B63C0" w:rsidP="009A0E33">
      <w:pPr>
        <w:pStyle w:val="YourNameInDocument"/>
        <w:tabs>
          <w:tab w:val="center" w:pos="3626"/>
        </w:tabs>
      </w:pPr>
      <w:r>
        <w:rPr>
          <w:noProof/>
        </w:rPr>
        <mc:AlternateContent>
          <mc:Choice Requires="wps">
            <w:drawing>
              <wp:anchor distT="0" distB="0" distL="114300" distR="114300" simplePos="0" relativeHeight="251661312" behindDoc="0" locked="0" layoutInCell="1" allowOverlap="1" wp14:anchorId="5C64C03A" wp14:editId="3A32BC2A">
                <wp:simplePos x="0" y="0"/>
                <wp:positionH relativeFrom="margin">
                  <wp:align>left</wp:align>
                </wp:positionH>
                <wp:positionV relativeFrom="paragraph">
                  <wp:posOffset>0</wp:posOffset>
                </wp:positionV>
                <wp:extent cx="7454900" cy="6858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7454900" cy="685800"/>
                        </a:xfrm>
                        <a:prstGeom prst="rect">
                          <a:avLst/>
                        </a:prstGeom>
                        <a:solidFill>
                          <a:srgbClr val="002060"/>
                        </a:solidFill>
                        <a:ln w="9528">
                          <a:solidFill>
                            <a:srgbClr val="000000"/>
                          </a:solidFill>
                          <a:prstDash val="solid"/>
                        </a:ln>
                      </wps:spPr>
                      <wps:txb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7203EAFE"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AE6CFB">
                              <w:rPr>
                                <w:i/>
                                <w:sz w:val="32"/>
                              </w:rPr>
                              <w:t>Northern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C64C03A" id="_x0000_t202" coordsize="21600,21600" o:spt="202" path="m,l,21600r21600,l21600,xe">
                <v:stroke joinstyle="miter"/>
                <v:path gradientshapeok="t" o:connecttype="rect"/>
              </v:shapetype>
              <v:shape id="Text Box 2" o:spid="_x0000_s1026" type="#_x0000_t202" style="position:absolute;margin-left:0;margin-top:0;width:587pt;height: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" fillcolor="#002060" strokeweight=".26467mm">
                <v:textbox>
                  <w:txbxContent>
                    <w:p w14:paraId="5DAFA3F6" w14:textId="4D80BB29" w:rsidR="00C01145" w:rsidRPr="006D3E78" w:rsidRDefault="00C7634C" w:rsidP="009A0E33">
                      <w:pPr>
                        <w:pStyle w:val="CoverPageSubtitle"/>
                        <w:spacing w:after="0" w:line="240" w:lineRule="auto"/>
                        <w:jc w:val="left"/>
                        <w:rPr>
                          <w:rFonts w:ascii="Arial" w:hAnsi="Arial" w:cs="Arial"/>
                          <w:b/>
                          <w:sz w:val="36"/>
                        </w:rPr>
                      </w:pPr>
                      <w:r w:rsidRPr="006D3E78">
                        <w:rPr>
                          <w:rFonts w:ascii="Arial" w:hAnsi="Arial" w:cs="Arial"/>
                          <w:b/>
                          <w:sz w:val="36"/>
                        </w:rPr>
                        <w:t xml:space="preserve">Suspected </w:t>
                      </w:r>
                      <w:r w:rsidR="00C01145" w:rsidRPr="006D3E78">
                        <w:rPr>
                          <w:rFonts w:ascii="Arial" w:hAnsi="Arial" w:cs="Arial"/>
                          <w:b/>
                          <w:sz w:val="36"/>
                        </w:rPr>
                        <w:t xml:space="preserve">Nevada Drug Overdose Surveillance </w:t>
                      </w:r>
                      <w:r w:rsidR="00F968B0" w:rsidRPr="006D3E78">
                        <w:rPr>
                          <w:rFonts w:ascii="Arial" w:hAnsi="Arial" w:cs="Arial"/>
                          <w:b/>
                          <w:sz w:val="36"/>
                        </w:rPr>
                        <w:t>Monthly</w:t>
                      </w:r>
                      <w:r w:rsidR="008B0C22" w:rsidRPr="006D3E78">
                        <w:rPr>
                          <w:rFonts w:ascii="Arial" w:hAnsi="Arial" w:cs="Arial"/>
                          <w:b/>
                          <w:sz w:val="36"/>
                        </w:rPr>
                        <w:t xml:space="preserve"> </w:t>
                      </w:r>
                      <w:r w:rsidR="00C01145" w:rsidRPr="006D3E78">
                        <w:rPr>
                          <w:rFonts w:ascii="Arial" w:hAnsi="Arial" w:cs="Arial"/>
                          <w:b/>
                          <w:sz w:val="36"/>
                        </w:rPr>
                        <w:t>Report</w:t>
                      </w:r>
                    </w:p>
                    <w:p w14:paraId="3631F15B" w14:textId="7203EAFE" w:rsidR="00C01145" w:rsidRPr="006D3E78" w:rsidRDefault="0092095A" w:rsidP="009A0E33">
                      <w:pPr>
                        <w:spacing w:after="0" w:line="240" w:lineRule="auto"/>
                        <w:rPr>
                          <w:i/>
                          <w:sz w:val="32"/>
                        </w:rPr>
                      </w:pPr>
                      <w:r>
                        <w:rPr>
                          <w:i/>
                          <w:sz w:val="32"/>
                        </w:rPr>
                        <w:t>September</w:t>
                      </w:r>
                      <w:r w:rsidR="00C01145" w:rsidRPr="006D3E78">
                        <w:rPr>
                          <w:i/>
                          <w:sz w:val="32"/>
                        </w:rPr>
                        <w:t xml:space="preserve"> 2020</w:t>
                      </w:r>
                      <w:r w:rsidR="00E4389F">
                        <w:rPr>
                          <w:i/>
                          <w:sz w:val="32"/>
                        </w:rPr>
                        <w:t xml:space="preserve">: </w:t>
                      </w:r>
                      <w:r w:rsidR="00AE6CFB">
                        <w:rPr>
                          <w:i/>
                          <w:sz w:val="32"/>
                        </w:rPr>
                        <w:t>Northern Region</w:t>
                      </w:r>
                      <w:r w:rsidR="00E4389F">
                        <w:rPr>
                          <w:i/>
                          <w:sz w:val="32"/>
                        </w:rPr>
                        <w:t xml:space="preserve"> </w:t>
                      </w:r>
                      <w:r w:rsidR="002B3D3A">
                        <w:rPr>
                          <w:i/>
                          <w:sz w:val="32"/>
                        </w:rPr>
                        <w:t>–</w:t>
                      </w:r>
                      <w:r w:rsidR="00145F4C" w:rsidRPr="00942439">
                        <w:rPr>
                          <w:i/>
                          <w:color w:val="00B0F0"/>
                          <w:sz w:val="32"/>
                        </w:rPr>
                        <w:t xml:space="preserve"> </w:t>
                      </w:r>
                      <w:r w:rsidR="00E4389F">
                        <w:rPr>
                          <w:i/>
                          <w:color w:val="00B0F0"/>
                          <w:sz w:val="32"/>
                        </w:rPr>
                        <w:t>F</w:t>
                      </w:r>
                      <w:r w:rsidR="00145F4C" w:rsidRPr="00942439">
                        <w:rPr>
                          <w:i/>
                          <w:color w:val="00B0F0"/>
                          <w:sz w:val="32"/>
                        </w:rPr>
                        <w:t>or internal planning purposes only</w:t>
                      </w:r>
                      <w:r w:rsidR="006D16F4">
                        <w:rPr>
                          <w:i/>
                          <w:color w:val="00B0F0"/>
                          <w:sz w:val="32"/>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660288" behindDoc="1" locked="0" layoutInCell="1" allowOverlap="1" wp14:anchorId="51C6D967" wp14:editId="6FCFF62F">
                <wp:simplePos x="0" y="0"/>
                <wp:positionH relativeFrom="margin">
                  <wp:align>left</wp:align>
                </wp:positionH>
                <wp:positionV relativeFrom="paragraph">
                  <wp:posOffset>699770</wp:posOffset>
                </wp:positionV>
                <wp:extent cx="7454900" cy="8959850"/>
                <wp:effectExtent l="0" t="0" r="12700" b="12700"/>
                <wp:wrapNone/>
                <wp:docPr id="3" name="Text Box 2"/>
                <wp:cNvGraphicFramePr/>
                <a:graphic xmlns:a="http://schemas.openxmlformats.org/drawingml/2006/main">
                  <a:graphicData uri="http://schemas.microsoft.com/office/word/2010/wordprocessingShape">
                    <wps:wsp>
                      <wps:cNvSpPr txBox="1"/>
                      <wps:spPr>
                        <a:xfrm>
                          <a:off x="0" y="0"/>
                          <a:ext cx="7454900" cy="8959850"/>
                        </a:xfrm>
                        <a:prstGeom prst="rect">
                          <a:avLst/>
                        </a:prstGeom>
                        <a:solidFill>
                          <a:srgbClr val="FFFFFF"/>
                        </a:solidFill>
                        <a:ln w="9528">
                          <a:solidFill>
                            <a:srgbClr val="000000"/>
                          </a:solidFill>
                          <a:prstDash val="solid"/>
                        </a:ln>
                      </wps:spPr>
                      <wps:txbx>
                        <w:txbxContent>
                          <w:p w14:paraId="524201E8" w14:textId="209A1FE5"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AE6CFB">
                              <w:rPr>
                                <w:sz w:val="18"/>
                              </w:rPr>
                              <w:t>the Northern Region counties</w:t>
                            </w:r>
                            <w:r w:rsidR="004E0B4B">
                              <w:rPr>
                                <w:sz w:val="18"/>
                              </w:rPr>
                              <w:t xml:space="preserve"> (</w:t>
                            </w:r>
                            <w:r w:rsidR="00AE6CFB" w:rsidRPr="00970C52">
                              <w:rPr>
                                <w:b/>
                                <w:sz w:val="18"/>
                              </w:rPr>
                              <w:t xml:space="preserve">Carson City, </w:t>
                            </w:r>
                            <w:proofErr w:type="spellStart"/>
                            <w:r w:rsidR="00AE6CFB" w:rsidRPr="00970C52">
                              <w:rPr>
                                <w:b/>
                                <w:sz w:val="18"/>
                              </w:rPr>
                              <w:t>Storey</w:t>
                            </w:r>
                            <w:proofErr w:type="spellEnd"/>
                            <w:r w:rsidR="00AE6CFB" w:rsidRPr="00970C52">
                              <w:rPr>
                                <w:b/>
                                <w:sz w:val="18"/>
                              </w:rPr>
                              <w:t>, Douglas, Lyon, and Churchill</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5B219F67" w14:textId="10F90938" w:rsidR="00970C52" w:rsidRPr="00970C52" w:rsidRDefault="00970C52" w:rsidP="00970C52">
                            <w:pPr>
                              <w:pStyle w:val="ListParagraph"/>
                              <w:numPr>
                                <w:ilvl w:val="0"/>
                                <w:numId w:val="5"/>
                              </w:numPr>
                              <w:rPr>
                                <w:sz w:val="20"/>
                              </w:rPr>
                            </w:pPr>
                            <w:r w:rsidRPr="00970C52">
                              <w:rPr>
                                <w:sz w:val="20"/>
                              </w:rPr>
                              <w:t xml:space="preserve">Suspected drug-related ED visit rates </w:t>
                            </w:r>
                            <w:r w:rsidRPr="00970C52">
                              <w:rPr>
                                <w:sz w:val="20"/>
                                <w:u w:val="single"/>
                              </w:rPr>
                              <w:t xml:space="preserve">increased by approximately </w:t>
                            </w:r>
                            <w:r>
                              <w:rPr>
                                <w:sz w:val="20"/>
                                <w:u w:val="single"/>
                              </w:rPr>
                              <w:t>27</w:t>
                            </w:r>
                            <w:r w:rsidRPr="00970C52">
                              <w:rPr>
                                <w:sz w:val="20"/>
                                <w:u w:val="single"/>
                              </w:rPr>
                              <w:t>%</w:t>
                            </w:r>
                            <w:r>
                              <w:rPr>
                                <w:sz w:val="20"/>
                              </w:rPr>
                              <w:t xml:space="preserve"> </w:t>
                            </w:r>
                            <w:r w:rsidRPr="00970C52">
                              <w:rPr>
                                <w:sz w:val="20"/>
                              </w:rPr>
                              <w:t>from July</w:t>
                            </w:r>
                            <w:r>
                              <w:rPr>
                                <w:sz w:val="20"/>
                              </w:rPr>
                              <w:t xml:space="preserve"> </w:t>
                            </w:r>
                            <w:r w:rsidRPr="00970C52">
                              <w:rPr>
                                <w:sz w:val="20"/>
                              </w:rPr>
                              <w:t>to August</w:t>
                            </w:r>
                            <w:r>
                              <w:rPr>
                                <w:sz w:val="20"/>
                              </w:rPr>
                              <w:t xml:space="preserve"> </w:t>
                            </w:r>
                            <w:r w:rsidRPr="00970C52">
                              <w:rPr>
                                <w:sz w:val="20"/>
                              </w:rPr>
                              <w:t>2020</w:t>
                            </w:r>
                            <w:r>
                              <w:rPr>
                                <w:sz w:val="20"/>
                              </w:rPr>
                              <w:t xml:space="preserve"> </w:t>
                            </w:r>
                            <w:r w:rsidRPr="00970C52">
                              <w:rPr>
                                <w:sz w:val="20"/>
                              </w:rPr>
                              <w:t xml:space="preserve">in the </w:t>
                            </w:r>
                            <w:r>
                              <w:rPr>
                                <w:sz w:val="20"/>
                              </w:rPr>
                              <w:t>Northern</w:t>
                            </w:r>
                            <w:r w:rsidRPr="00970C52">
                              <w:rPr>
                                <w:sz w:val="20"/>
                              </w:rPr>
                              <w:t xml:space="preserve"> Region.</w:t>
                            </w:r>
                          </w:p>
                          <w:p w14:paraId="2F600E4C" w14:textId="1553B16F" w:rsidR="00C36303" w:rsidRPr="00970C52" w:rsidRDefault="00970C52" w:rsidP="00970C52">
                            <w:pPr>
                              <w:pStyle w:val="ListParagraph"/>
                              <w:numPr>
                                <w:ilvl w:val="0"/>
                                <w:numId w:val="5"/>
                              </w:numPr>
                              <w:rPr>
                                <w:sz w:val="20"/>
                              </w:rPr>
                            </w:pPr>
                            <w:r w:rsidRPr="00970C52">
                              <w:rPr>
                                <w:sz w:val="20"/>
                              </w:rPr>
                              <w:t>Suspected drug-related ED visit rates</w:t>
                            </w:r>
                            <w:r>
                              <w:rPr>
                                <w:sz w:val="20"/>
                              </w:rPr>
                              <w:t xml:space="preserve"> stayed the same </w:t>
                            </w:r>
                            <w:r w:rsidRPr="00970C52">
                              <w:rPr>
                                <w:sz w:val="20"/>
                              </w:rPr>
                              <w:t xml:space="preserve">from August 2019 to August this year in the </w:t>
                            </w:r>
                            <w:r>
                              <w:rPr>
                                <w:sz w:val="20"/>
                              </w:rPr>
                              <w:t>Northern</w:t>
                            </w:r>
                            <w:r w:rsidRPr="00970C52">
                              <w:rPr>
                                <w:sz w:val="20"/>
                              </w:rPr>
                              <w:t xml:space="preserve"> Region.</w:t>
                            </w:r>
                          </w:p>
                          <w:p w14:paraId="27B434E2" w14:textId="77777777" w:rsidR="00970C52" w:rsidRPr="00970C52" w:rsidRDefault="00970C52" w:rsidP="00C36303">
                            <w:pPr>
                              <w:pStyle w:val="ListParagraph"/>
                              <w:rPr>
                                <w:sz w:val="16"/>
                              </w:rPr>
                            </w:pPr>
                          </w:p>
                          <w:p w14:paraId="234DEE6C" w14:textId="4BB01B87" w:rsidR="009A0E33" w:rsidRPr="00004829" w:rsidRDefault="0050201A" w:rsidP="00C01145">
                            <w:r w:rsidRPr="00004829">
                              <w:t>Figure 1. Suspected m</w:t>
                            </w:r>
                            <w:r w:rsidR="009A0E33" w:rsidRPr="00004829">
                              <w:t>onthly rate</w:t>
                            </w:r>
                            <w:r w:rsidRPr="00004829">
                              <w:t>s</w:t>
                            </w:r>
                            <w:r w:rsidR="009A0E33" w:rsidRPr="00004829">
                              <w:t xml:space="preserve"> </w:t>
                            </w:r>
                            <w:r w:rsidR="00952A03" w:rsidRPr="00004829">
                              <w:t>for</w:t>
                            </w:r>
                            <w:r w:rsidRPr="00004829">
                              <w:t xml:space="preserve"> </w:t>
                            </w:r>
                            <w:r w:rsidR="00952A03" w:rsidRPr="00004829">
                              <w:t>drug</w:t>
                            </w:r>
                            <w:r w:rsidR="00E4389F" w:rsidRPr="00004829">
                              <w:t>-</w:t>
                            </w:r>
                            <w:r w:rsidRPr="00004829">
                              <w:t>related</w:t>
                            </w:r>
                            <w:r w:rsidR="00A459DC" w:rsidRPr="00004829">
                              <w:t xml:space="preserve"> </w:t>
                            </w:r>
                            <w:r w:rsidRPr="00004829">
                              <w:t xml:space="preserve">ED </w:t>
                            </w:r>
                            <w:r w:rsidR="00A459DC" w:rsidRPr="00004829">
                              <w:t>visits</w:t>
                            </w:r>
                            <w:r w:rsidRPr="00004829">
                              <w:t xml:space="preserve"> </w:t>
                            </w:r>
                            <w:r w:rsidR="00E4389F" w:rsidRPr="00004829">
                              <w:t xml:space="preserve">in </w:t>
                            </w:r>
                            <w:r w:rsidR="009B63C0" w:rsidRPr="00004829">
                              <w:t xml:space="preserve">Nevada and </w:t>
                            </w:r>
                            <w:r w:rsidR="00004829" w:rsidRPr="00004829">
                              <w:t>Northern Region</w:t>
                            </w:r>
                            <w:r w:rsidR="00E4389F" w:rsidRPr="00004829">
                              <w:t xml:space="preserve"> </w:t>
                            </w:r>
                            <w:r w:rsidRPr="00004829">
                              <w:t>(per 10</w:t>
                            </w:r>
                            <w:r w:rsidR="00004829" w:rsidRPr="00004829">
                              <w:t>,</w:t>
                            </w:r>
                            <w:r w:rsidRPr="00004829">
                              <w:t>000 population)</w:t>
                            </w:r>
                          </w:p>
                          <w:p w14:paraId="6A52B077" w14:textId="1878E6ED" w:rsidR="00831CF1" w:rsidRPr="00A459DC" w:rsidRDefault="00970C52" w:rsidP="00C01145">
                            <w:pPr>
                              <w:rPr>
                                <w:b/>
                                <w:sz w:val="28"/>
                                <w:u w:val="single"/>
                              </w:rPr>
                            </w:pPr>
                            <w:r>
                              <w:rPr>
                                <w:noProof/>
                              </w:rPr>
                              <w:drawing>
                                <wp:inline distT="0" distB="0" distL="0" distR="0" wp14:anchorId="713FD1DC" wp14:editId="66D39EF2">
                                  <wp:extent cx="7233314" cy="2743200"/>
                                  <wp:effectExtent l="0" t="0" r="5715" b="0"/>
                                  <wp:docPr id="1" name="Chart 1">
                                    <a:extLst xmlns:a="http://schemas.openxmlformats.org/drawingml/2006/main">
                                      <a:ext uri="{FF2B5EF4-FFF2-40B4-BE49-F238E27FC236}">
                                        <a16:creationId xmlns:a16="http://schemas.microsoft.com/office/drawing/2014/main" id="{11D2780C-3196-4CDD-B435-14E4B0B1C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55E188A1" w:rsidR="00E4389F" w:rsidRPr="00004829" w:rsidRDefault="00E4389F" w:rsidP="00E4389F">
                            <w:r w:rsidRPr="00004829">
                              <w:t>Figure 2. Suspected rates for drug-related ED visits</w:t>
                            </w:r>
                            <w:r w:rsidR="009B63C0" w:rsidRPr="00004829">
                              <w:t xml:space="preserve"> in Nevada and </w:t>
                            </w:r>
                            <w:r w:rsidR="00004829" w:rsidRPr="00004829">
                              <w:t>Northern Region</w:t>
                            </w:r>
                            <w:r w:rsidRPr="00004829">
                              <w:t xml:space="preserve">, </w:t>
                            </w:r>
                            <w:r w:rsidR="007876C1">
                              <w:t>August</w:t>
                            </w:r>
                            <w:r w:rsidRPr="00004829">
                              <w:t xml:space="preserve"> 2018-2020 (per 10,000 population)</w:t>
                            </w:r>
                          </w:p>
                          <w:p w14:paraId="3EDB9341" w14:textId="04A1C508" w:rsidR="00E4389F" w:rsidRPr="0050201A" w:rsidRDefault="00970C52" w:rsidP="00E4389F">
                            <w:pPr>
                              <w:rPr>
                                <w:sz w:val="24"/>
                              </w:rPr>
                            </w:pPr>
                            <w:r>
                              <w:rPr>
                                <w:noProof/>
                              </w:rPr>
                              <w:drawing>
                                <wp:inline distT="0" distB="0" distL="0" distR="0" wp14:anchorId="4D106D44" wp14:editId="196BED82">
                                  <wp:extent cx="7233285" cy="2265528"/>
                                  <wp:effectExtent l="0" t="0" r="5715" b="1905"/>
                                  <wp:docPr id="4" name="Chart 4">
                                    <a:extLst xmlns:a="http://schemas.openxmlformats.org/drawingml/2006/main">
                                      <a:ext uri="{FF2B5EF4-FFF2-40B4-BE49-F238E27FC236}">
                                        <a16:creationId xmlns:a16="http://schemas.microsoft.com/office/drawing/2014/main" id="{6C9A8561-CD78-4B24-BBF4-E4CB78287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8435AC2"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7876C1">
                              <w:rPr>
                                <w:sz w:val="14"/>
                              </w:rPr>
                              <w:t>10</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C6D967" id="_x0000_s1027" type="#_x0000_t202" style="position:absolute;margin-left:0;margin-top:55.1pt;width:587pt;height:70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" strokeweight=".26467mm">
                <v:textbox>
                  <w:txbxContent>
                    <w:p w14:paraId="524201E8" w14:textId="209A1FE5" w:rsidR="00C36303" w:rsidRDefault="002C6F10" w:rsidP="00C36303">
                      <w:pPr>
                        <w:rPr>
                          <w:sz w:val="18"/>
                        </w:rPr>
                      </w:pPr>
                      <w:r w:rsidRPr="009B63C0">
                        <w:rPr>
                          <w:sz w:val="18"/>
                        </w:rPr>
                        <w:t>The Centers for Disease Control and Prevention (CDC) Overdose Data to Action (OD2A) is a program that supports state, territorial, county, and city health departments in obtaining more comprehensive and timelier data on overdose morbidity and mortality. The program is meant to enhance opioid overdose surveillance, reporting, and dissemination efforts to better inform prevention and early intervention strategies.</w:t>
                      </w:r>
                      <w:r w:rsidR="00831CF1" w:rsidRPr="009B63C0">
                        <w:rPr>
                          <w:sz w:val="18"/>
                        </w:rPr>
                        <w:t xml:space="preserve"> </w:t>
                      </w:r>
                      <w:r w:rsidR="00C01145" w:rsidRPr="009B63C0">
                        <w:rPr>
                          <w:sz w:val="18"/>
                        </w:rPr>
                        <w:t xml:space="preserve">The information contained in this </w:t>
                      </w:r>
                      <w:r w:rsidR="009A0E33" w:rsidRPr="009B63C0">
                        <w:rPr>
                          <w:sz w:val="18"/>
                        </w:rPr>
                        <w:t>monthly</w:t>
                      </w:r>
                      <w:r w:rsidR="00C01145" w:rsidRPr="009B63C0">
                        <w:rPr>
                          <w:sz w:val="18"/>
                        </w:rPr>
                        <w:t xml:space="preserve"> report highlights suspected </w:t>
                      </w:r>
                      <w:r w:rsidR="00C01145" w:rsidRPr="009B63C0">
                        <w:rPr>
                          <w:b/>
                          <w:bCs/>
                          <w:sz w:val="18"/>
                        </w:rPr>
                        <w:t>overdose morbidity</w:t>
                      </w:r>
                      <w:r w:rsidR="00C01145" w:rsidRPr="009B63C0">
                        <w:rPr>
                          <w:sz w:val="18"/>
                        </w:rPr>
                        <w:t xml:space="preserve"> within </w:t>
                      </w:r>
                      <w:r w:rsidR="00AE6CFB">
                        <w:rPr>
                          <w:sz w:val="18"/>
                        </w:rPr>
                        <w:t>the Northern Region counties</w:t>
                      </w:r>
                      <w:r w:rsidR="004E0B4B">
                        <w:rPr>
                          <w:sz w:val="18"/>
                        </w:rPr>
                        <w:t xml:space="preserve"> (</w:t>
                      </w:r>
                      <w:r w:rsidR="00AE6CFB" w:rsidRPr="00970C52">
                        <w:rPr>
                          <w:b/>
                          <w:sz w:val="18"/>
                        </w:rPr>
                        <w:t xml:space="preserve">Carson City, </w:t>
                      </w:r>
                      <w:proofErr w:type="spellStart"/>
                      <w:r w:rsidR="00AE6CFB" w:rsidRPr="00970C52">
                        <w:rPr>
                          <w:b/>
                          <w:sz w:val="18"/>
                        </w:rPr>
                        <w:t>Storey</w:t>
                      </w:r>
                      <w:proofErr w:type="spellEnd"/>
                      <w:r w:rsidR="00AE6CFB" w:rsidRPr="00970C52">
                        <w:rPr>
                          <w:b/>
                          <w:sz w:val="18"/>
                        </w:rPr>
                        <w:t>, Douglas, Lyon, and Churchill</w:t>
                      </w:r>
                      <w:r w:rsidR="004E0B4B">
                        <w:rPr>
                          <w:sz w:val="18"/>
                        </w:rPr>
                        <w:t>)</w:t>
                      </w:r>
                      <w:r w:rsidR="00E4389F" w:rsidRPr="009B63C0">
                        <w:rPr>
                          <w:sz w:val="18"/>
                        </w:rPr>
                        <w:t xml:space="preserve"> in</w:t>
                      </w:r>
                      <w:r w:rsidR="00C01145" w:rsidRPr="009B63C0">
                        <w:rPr>
                          <w:sz w:val="18"/>
                        </w:rPr>
                        <w:t xml:space="preserve"> Nevada utilizing emergency department (ED) </w:t>
                      </w:r>
                      <w:r w:rsidR="00C7634C" w:rsidRPr="009B63C0">
                        <w:rPr>
                          <w:sz w:val="18"/>
                        </w:rPr>
                        <w:t>visits</w:t>
                      </w:r>
                      <w:r w:rsidR="00C01145" w:rsidRPr="009B63C0">
                        <w:rPr>
                          <w:sz w:val="18"/>
                        </w:rPr>
                        <w:t xml:space="preserve"> data </w:t>
                      </w:r>
                      <w:r w:rsidR="009A0E33" w:rsidRPr="009B63C0">
                        <w:rPr>
                          <w:sz w:val="18"/>
                        </w:rPr>
                        <w:t xml:space="preserve">from the National Syndromic Surveillance Program </w:t>
                      </w:r>
                      <w:r w:rsidR="00A87461" w:rsidRPr="009B63C0">
                        <w:rPr>
                          <w:sz w:val="18"/>
                        </w:rPr>
                        <w:t>as of</w:t>
                      </w:r>
                      <w:r w:rsidR="00EB6A28" w:rsidRPr="009B63C0">
                        <w:rPr>
                          <w:sz w:val="18"/>
                        </w:rPr>
                        <w:t xml:space="preserve">: </w:t>
                      </w:r>
                      <w:r w:rsidR="0092095A">
                        <w:rPr>
                          <w:b/>
                          <w:i/>
                          <w:sz w:val="18"/>
                        </w:rPr>
                        <w:t>August</w:t>
                      </w:r>
                      <w:r w:rsidR="00C01145" w:rsidRPr="009B63C0">
                        <w:rPr>
                          <w:b/>
                          <w:i/>
                          <w:sz w:val="18"/>
                        </w:rPr>
                        <w:t xml:space="preserve"> 3</w:t>
                      </w:r>
                      <w:r w:rsidR="00D51929" w:rsidRPr="009B63C0">
                        <w:rPr>
                          <w:b/>
                          <w:i/>
                          <w:sz w:val="18"/>
                        </w:rPr>
                        <w:t>1</w:t>
                      </w:r>
                      <w:r w:rsidR="00C01145" w:rsidRPr="009B63C0">
                        <w:rPr>
                          <w:b/>
                          <w:i/>
                          <w:sz w:val="18"/>
                        </w:rPr>
                        <w:t xml:space="preserve">, </w:t>
                      </w:r>
                      <w:r w:rsidR="00A7384A" w:rsidRPr="009B63C0">
                        <w:rPr>
                          <w:b/>
                          <w:i/>
                          <w:sz w:val="18"/>
                        </w:rPr>
                        <w:t>2020</w:t>
                      </w:r>
                      <w:r w:rsidR="00C01145" w:rsidRPr="009B63C0">
                        <w:rPr>
                          <w:sz w:val="18"/>
                        </w:rPr>
                        <w:t xml:space="preserve">. </w:t>
                      </w:r>
                    </w:p>
                    <w:p w14:paraId="19298F18" w14:textId="77777777" w:rsidR="00C36303" w:rsidRPr="00C36303" w:rsidRDefault="00C36303" w:rsidP="00C36303">
                      <w:pPr>
                        <w:spacing w:after="0"/>
                      </w:pPr>
                      <w:r w:rsidRPr="00C36303">
                        <w:rPr>
                          <w:b/>
                          <w:sz w:val="24"/>
                        </w:rPr>
                        <w:t>Report Highlights</w:t>
                      </w:r>
                      <w:r w:rsidRPr="00C36303">
                        <w:t>:</w:t>
                      </w:r>
                    </w:p>
                    <w:p w14:paraId="5B219F67" w14:textId="10F90938" w:rsidR="00970C52" w:rsidRPr="00970C52" w:rsidRDefault="00970C52" w:rsidP="00970C52">
                      <w:pPr>
                        <w:pStyle w:val="ListParagraph"/>
                        <w:numPr>
                          <w:ilvl w:val="0"/>
                          <w:numId w:val="5"/>
                        </w:numPr>
                        <w:rPr>
                          <w:sz w:val="20"/>
                        </w:rPr>
                      </w:pPr>
                      <w:r w:rsidRPr="00970C52">
                        <w:rPr>
                          <w:sz w:val="20"/>
                        </w:rPr>
                        <w:t xml:space="preserve">Suspected drug-related ED visit rates </w:t>
                      </w:r>
                      <w:r w:rsidRPr="00970C52">
                        <w:rPr>
                          <w:sz w:val="20"/>
                          <w:u w:val="single"/>
                        </w:rPr>
                        <w:t xml:space="preserve">increased by approximately </w:t>
                      </w:r>
                      <w:r>
                        <w:rPr>
                          <w:sz w:val="20"/>
                          <w:u w:val="single"/>
                        </w:rPr>
                        <w:t>27</w:t>
                      </w:r>
                      <w:r w:rsidRPr="00970C52">
                        <w:rPr>
                          <w:sz w:val="20"/>
                          <w:u w:val="single"/>
                        </w:rPr>
                        <w:t>%</w:t>
                      </w:r>
                      <w:r>
                        <w:rPr>
                          <w:sz w:val="20"/>
                        </w:rPr>
                        <w:t xml:space="preserve"> </w:t>
                      </w:r>
                      <w:r w:rsidRPr="00970C52">
                        <w:rPr>
                          <w:sz w:val="20"/>
                        </w:rPr>
                        <w:t>from July</w:t>
                      </w:r>
                      <w:r>
                        <w:rPr>
                          <w:sz w:val="20"/>
                        </w:rPr>
                        <w:t xml:space="preserve"> </w:t>
                      </w:r>
                      <w:r w:rsidRPr="00970C52">
                        <w:rPr>
                          <w:sz w:val="20"/>
                        </w:rPr>
                        <w:t>to August</w:t>
                      </w:r>
                      <w:r>
                        <w:rPr>
                          <w:sz w:val="20"/>
                        </w:rPr>
                        <w:t xml:space="preserve"> </w:t>
                      </w:r>
                      <w:r w:rsidRPr="00970C52">
                        <w:rPr>
                          <w:sz w:val="20"/>
                        </w:rPr>
                        <w:t>2020</w:t>
                      </w:r>
                      <w:r>
                        <w:rPr>
                          <w:sz w:val="20"/>
                        </w:rPr>
                        <w:t xml:space="preserve"> </w:t>
                      </w:r>
                      <w:r w:rsidRPr="00970C52">
                        <w:rPr>
                          <w:sz w:val="20"/>
                        </w:rPr>
                        <w:t xml:space="preserve">in the </w:t>
                      </w:r>
                      <w:r>
                        <w:rPr>
                          <w:sz w:val="20"/>
                        </w:rPr>
                        <w:t>Northern</w:t>
                      </w:r>
                      <w:r w:rsidRPr="00970C52">
                        <w:rPr>
                          <w:sz w:val="20"/>
                        </w:rPr>
                        <w:t xml:space="preserve"> Region.</w:t>
                      </w:r>
                    </w:p>
                    <w:p w14:paraId="2F600E4C" w14:textId="1553B16F" w:rsidR="00C36303" w:rsidRPr="00970C52" w:rsidRDefault="00970C52" w:rsidP="00970C52">
                      <w:pPr>
                        <w:pStyle w:val="ListParagraph"/>
                        <w:numPr>
                          <w:ilvl w:val="0"/>
                          <w:numId w:val="5"/>
                        </w:numPr>
                        <w:rPr>
                          <w:sz w:val="20"/>
                        </w:rPr>
                      </w:pPr>
                      <w:r w:rsidRPr="00970C52">
                        <w:rPr>
                          <w:sz w:val="20"/>
                        </w:rPr>
                        <w:t>Suspected drug-related ED visit rates</w:t>
                      </w:r>
                      <w:r>
                        <w:rPr>
                          <w:sz w:val="20"/>
                        </w:rPr>
                        <w:t xml:space="preserve"> stayed the same </w:t>
                      </w:r>
                      <w:r w:rsidRPr="00970C52">
                        <w:rPr>
                          <w:sz w:val="20"/>
                        </w:rPr>
                        <w:t xml:space="preserve">from August 2019 to August this year in the </w:t>
                      </w:r>
                      <w:r>
                        <w:rPr>
                          <w:sz w:val="20"/>
                        </w:rPr>
                        <w:t>Northern</w:t>
                      </w:r>
                      <w:r w:rsidRPr="00970C52">
                        <w:rPr>
                          <w:sz w:val="20"/>
                        </w:rPr>
                        <w:t xml:space="preserve"> Region.</w:t>
                      </w:r>
                    </w:p>
                    <w:p w14:paraId="27B434E2" w14:textId="77777777" w:rsidR="00970C52" w:rsidRPr="00970C52" w:rsidRDefault="00970C52" w:rsidP="00C36303">
                      <w:pPr>
                        <w:pStyle w:val="ListParagraph"/>
                        <w:rPr>
                          <w:sz w:val="16"/>
                        </w:rPr>
                      </w:pPr>
                    </w:p>
                    <w:p w14:paraId="234DEE6C" w14:textId="4BB01B87" w:rsidR="009A0E33" w:rsidRPr="00004829" w:rsidRDefault="0050201A" w:rsidP="00C01145">
                      <w:r w:rsidRPr="00004829">
                        <w:t>Figure 1. Suspected m</w:t>
                      </w:r>
                      <w:r w:rsidR="009A0E33" w:rsidRPr="00004829">
                        <w:t>onthly rate</w:t>
                      </w:r>
                      <w:r w:rsidRPr="00004829">
                        <w:t>s</w:t>
                      </w:r>
                      <w:r w:rsidR="009A0E33" w:rsidRPr="00004829">
                        <w:t xml:space="preserve"> </w:t>
                      </w:r>
                      <w:r w:rsidR="00952A03" w:rsidRPr="00004829">
                        <w:t>for</w:t>
                      </w:r>
                      <w:r w:rsidRPr="00004829">
                        <w:t xml:space="preserve"> </w:t>
                      </w:r>
                      <w:r w:rsidR="00952A03" w:rsidRPr="00004829">
                        <w:t>drug</w:t>
                      </w:r>
                      <w:r w:rsidR="00E4389F" w:rsidRPr="00004829">
                        <w:t>-</w:t>
                      </w:r>
                      <w:r w:rsidRPr="00004829">
                        <w:t>related</w:t>
                      </w:r>
                      <w:r w:rsidR="00A459DC" w:rsidRPr="00004829">
                        <w:t xml:space="preserve"> </w:t>
                      </w:r>
                      <w:r w:rsidRPr="00004829">
                        <w:t xml:space="preserve">ED </w:t>
                      </w:r>
                      <w:r w:rsidR="00A459DC" w:rsidRPr="00004829">
                        <w:t>visits</w:t>
                      </w:r>
                      <w:r w:rsidRPr="00004829">
                        <w:t xml:space="preserve"> </w:t>
                      </w:r>
                      <w:r w:rsidR="00E4389F" w:rsidRPr="00004829">
                        <w:t xml:space="preserve">in </w:t>
                      </w:r>
                      <w:r w:rsidR="009B63C0" w:rsidRPr="00004829">
                        <w:t xml:space="preserve">Nevada and </w:t>
                      </w:r>
                      <w:r w:rsidR="00004829" w:rsidRPr="00004829">
                        <w:t>Northern Region</w:t>
                      </w:r>
                      <w:r w:rsidR="00E4389F" w:rsidRPr="00004829">
                        <w:t xml:space="preserve"> </w:t>
                      </w:r>
                      <w:r w:rsidRPr="00004829">
                        <w:t>(per 10</w:t>
                      </w:r>
                      <w:r w:rsidR="00004829" w:rsidRPr="00004829">
                        <w:t>,</w:t>
                      </w:r>
                      <w:r w:rsidRPr="00004829">
                        <w:t>000 population)</w:t>
                      </w:r>
                    </w:p>
                    <w:p w14:paraId="6A52B077" w14:textId="1878E6ED" w:rsidR="00831CF1" w:rsidRPr="00A459DC" w:rsidRDefault="00970C52" w:rsidP="00C01145">
                      <w:pPr>
                        <w:rPr>
                          <w:b/>
                          <w:sz w:val="28"/>
                          <w:u w:val="single"/>
                        </w:rPr>
                      </w:pPr>
                      <w:r>
                        <w:rPr>
                          <w:noProof/>
                        </w:rPr>
                        <w:drawing>
                          <wp:inline distT="0" distB="0" distL="0" distR="0" wp14:anchorId="713FD1DC" wp14:editId="66D39EF2">
                            <wp:extent cx="7233314" cy="2743200"/>
                            <wp:effectExtent l="0" t="0" r="5715" b="0"/>
                            <wp:docPr id="1" name="Chart 1">
                              <a:extLst xmlns:a="http://schemas.openxmlformats.org/drawingml/2006/main">
                                <a:ext uri="{FF2B5EF4-FFF2-40B4-BE49-F238E27FC236}">
                                  <a16:creationId xmlns:a16="http://schemas.microsoft.com/office/drawing/2014/main" id="{11D2780C-3196-4CDD-B435-14E4B0B1C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73EAB9" w14:textId="4C04D145" w:rsidR="00490DE9" w:rsidRDefault="00490DE9" w:rsidP="005E6909">
                      <w:pPr>
                        <w:spacing w:after="0" w:line="240" w:lineRule="auto"/>
                        <w:jc w:val="center"/>
                        <w:rPr>
                          <w:b/>
                          <w:sz w:val="16"/>
                          <w:u w:val="single"/>
                        </w:rPr>
                      </w:pPr>
                    </w:p>
                    <w:p w14:paraId="41CEADE0" w14:textId="55E188A1" w:rsidR="00E4389F" w:rsidRPr="00004829" w:rsidRDefault="00E4389F" w:rsidP="00E4389F">
                      <w:r w:rsidRPr="00004829">
                        <w:t>Figure 2. Suspected rates for drug-related ED visits</w:t>
                      </w:r>
                      <w:r w:rsidR="009B63C0" w:rsidRPr="00004829">
                        <w:t xml:space="preserve"> in Nevada and </w:t>
                      </w:r>
                      <w:r w:rsidR="00004829" w:rsidRPr="00004829">
                        <w:t>Northern Region</w:t>
                      </w:r>
                      <w:r w:rsidRPr="00004829">
                        <w:t xml:space="preserve">, </w:t>
                      </w:r>
                      <w:r w:rsidR="007876C1">
                        <w:t>August</w:t>
                      </w:r>
                      <w:r w:rsidRPr="00004829">
                        <w:t xml:space="preserve"> 2018-2020 (per 10,000 population)</w:t>
                      </w:r>
                    </w:p>
                    <w:p w14:paraId="3EDB9341" w14:textId="04A1C508" w:rsidR="00E4389F" w:rsidRPr="0050201A" w:rsidRDefault="00970C52" w:rsidP="00E4389F">
                      <w:pPr>
                        <w:rPr>
                          <w:sz w:val="24"/>
                        </w:rPr>
                      </w:pPr>
                      <w:r>
                        <w:rPr>
                          <w:noProof/>
                        </w:rPr>
                        <w:drawing>
                          <wp:inline distT="0" distB="0" distL="0" distR="0" wp14:anchorId="4D106D44" wp14:editId="196BED82">
                            <wp:extent cx="7233285" cy="2265528"/>
                            <wp:effectExtent l="0" t="0" r="5715" b="1905"/>
                            <wp:docPr id="4" name="Chart 4">
                              <a:extLst xmlns:a="http://schemas.openxmlformats.org/drawingml/2006/main">
                                <a:ext uri="{FF2B5EF4-FFF2-40B4-BE49-F238E27FC236}">
                                  <a16:creationId xmlns:a16="http://schemas.microsoft.com/office/drawing/2014/main" id="{6C9A8561-CD78-4B24-BBF4-E4CB782876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FB73D9" w14:textId="5C612C4F" w:rsidR="005E6909" w:rsidRDefault="00490DE9" w:rsidP="005E6909">
                      <w:pPr>
                        <w:spacing w:after="0" w:line="240" w:lineRule="auto"/>
                        <w:jc w:val="center"/>
                        <w:rPr>
                          <w:b/>
                          <w:sz w:val="16"/>
                          <w:u w:val="single"/>
                        </w:rPr>
                      </w:pPr>
                      <w:r>
                        <w:rPr>
                          <w:b/>
                          <w:sz w:val="16"/>
                          <w:u w:val="single"/>
                        </w:rPr>
                        <w:t>T</w:t>
                      </w:r>
                      <w:r w:rsidR="005E6909">
                        <w:rPr>
                          <w:b/>
                          <w:sz w:val="16"/>
                          <w:u w:val="single"/>
                        </w:rPr>
                        <w:t>echnical Notes:</w:t>
                      </w:r>
                    </w:p>
                    <w:p w14:paraId="6C984597" w14:textId="77777777" w:rsidR="005E6909" w:rsidRPr="00873F9D" w:rsidRDefault="005E6909" w:rsidP="005E6909">
                      <w:pPr>
                        <w:spacing w:after="0" w:line="240" w:lineRule="auto"/>
                        <w:rPr>
                          <w:sz w:val="14"/>
                        </w:rPr>
                      </w:pPr>
                      <w:r w:rsidRPr="00873F9D">
                        <w:rPr>
                          <w:b/>
                          <w:sz w:val="14"/>
                          <w:u w:val="single"/>
                        </w:rPr>
                        <w:t>Data Sources</w:t>
                      </w:r>
                      <w:r w:rsidRPr="00873F9D">
                        <w:rPr>
                          <w:sz w:val="14"/>
                        </w:rPr>
                        <w:t xml:space="preserve">: National Syndromic Surveillance Program is a near real-time method of categorizing visits to the ED across Nevada based on a patient’s chief complaint and/or discharge diagnosis. </w:t>
                      </w:r>
                    </w:p>
                    <w:p w14:paraId="28B29224" w14:textId="07E7C025" w:rsidR="005E6909" w:rsidRPr="00873F9D" w:rsidRDefault="005E6909" w:rsidP="005E6909">
                      <w:pPr>
                        <w:spacing w:after="0" w:line="240" w:lineRule="auto"/>
                        <w:rPr>
                          <w:sz w:val="14"/>
                        </w:rPr>
                      </w:pPr>
                      <w:r w:rsidRPr="00873F9D">
                        <w:rPr>
                          <w:b/>
                          <w:sz w:val="14"/>
                          <w:u w:val="single"/>
                        </w:rPr>
                        <w:t>Case definitions</w:t>
                      </w:r>
                      <w:r w:rsidRPr="00873F9D">
                        <w:rPr>
                          <w:sz w:val="14"/>
                        </w:rPr>
                        <w:t xml:space="preserve">: </w:t>
                      </w:r>
                      <w:r w:rsidRPr="00873F9D">
                        <w:rPr>
                          <w:rFonts w:ascii="Calibri" w:hAnsi="Calibri" w:cs="Calibri"/>
                          <w:color w:val="201F1E"/>
                          <w:sz w:val="14"/>
                          <w:shd w:val="clear" w:color="auto" w:fill="FFFFFF"/>
                        </w:rPr>
                        <w:t>Case definitions and queries for suspected all drug ED visits are created and provided by CDC and include chief complaint keywords and ICD-10-CM discharge diagnosis codes.</w:t>
                      </w:r>
                    </w:p>
                    <w:p w14:paraId="659D3249" w14:textId="48435AC2" w:rsidR="005E6909" w:rsidRPr="00873F9D" w:rsidRDefault="005E6909" w:rsidP="005E6909">
                      <w:pPr>
                        <w:spacing w:after="0" w:line="240" w:lineRule="auto"/>
                        <w:rPr>
                          <w:sz w:val="14"/>
                        </w:rPr>
                      </w:pPr>
                      <w:r w:rsidRPr="00873F9D">
                        <w:rPr>
                          <w:b/>
                          <w:bCs/>
                          <w:sz w:val="14"/>
                          <w:u w:val="single"/>
                        </w:rPr>
                        <w:t>Analysis</w:t>
                      </w:r>
                      <w:r w:rsidRPr="00873F9D">
                        <w:rPr>
                          <w:sz w:val="14"/>
                        </w:rPr>
                        <w:t>: ED visit rates per 10</w:t>
                      </w:r>
                      <w:r w:rsidR="004E0B4B">
                        <w:rPr>
                          <w:sz w:val="14"/>
                        </w:rPr>
                        <w:t>,</w:t>
                      </w:r>
                      <w:r w:rsidRPr="00873F9D">
                        <w:rPr>
                          <w:sz w:val="14"/>
                        </w:rPr>
                        <w:t>000 population were calculated using 2019 Census Bureau</w:t>
                      </w:r>
                      <w:r>
                        <w:rPr>
                          <w:sz w:val="14"/>
                        </w:rPr>
                        <w:t xml:space="preserve"> data</w:t>
                      </w:r>
                      <w:r w:rsidRPr="00873F9D">
                        <w:rPr>
                          <w:sz w:val="14"/>
                        </w:rPr>
                        <w:t xml:space="preserve">. ED visit counts with less than </w:t>
                      </w:r>
                      <w:r w:rsidR="007876C1">
                        <w:rPr>
                          <w:sz w:val="14"/>
                        </w:rPr>
                        <w:t>10</w:t>
                      </w:r>
                      <w:r w:rsidRPr="004E0B4B">
                        <w:rPr>
                          <w:sz w:val="14"/>
                        </w:rPr>
                        <w:t xml:space="preserve"> counts for any month</w:t>
                      </w:r>
                      <w:r w:rsidRPr="00873F9D">
                        <w:rPr>
                          <w:sz w:val="14"/>
                        </w:rPr>
                        <w:t xml:space="preserve"> were not included. </w:t>
                      </w:r>
                    </w:p>
                    <w:p w14:paraId="5A9F1819" w14:textId="77777777" w:rsidR="005E6909" w:rsidRPr="00873F9D" w:rsidRDefault="005E6909" w:rsidP="005E6909">
                      <w:pPr>
                        <w:spacing w:after="0" w:line="240" w:lineRule="auto"/>
                        <w:rPr>
                          <w:sz w:val="14"/>
                        </w:rPr>
                      </w:pPr>
                      <w:r w:rsidRPr="00873F9D">
                        <w:rPr>
                          <w:b/>
                          <w:sz w:val="14"/>
                          <w:u w:val="single"/>
                        </w:rPr>
                        <w:t>Limitations</w:t>
                      </w:r>
                      <w:r w:rsidRPr="00873F9D">
                        <w:rPr>
                          <w:sz w:val="14"/>
                        </w:rPr>
                        <w:t xml:space="preserve">: Statewide, the National Syndromic Surveillance Program is estimated to capture approximately 80% of Nevada emergency department visits, and thus may underestimate the occurrence of overdoses across the state. </w:t>
                      </w:r>
                      <w:r>
                        <w:rPr>
                          <w:sz w:val="14"/>
                        </w:rPr>
                        <w:t xml:space="preserve">Since not everyone who overdoses is able to make it to the ED, this report may underestimate the total overdose burden in the state. </w:t>
                      </w:r>
                    </w:p>
                    <w:p w14:paraId="1078CECC" w14:textId="77777777" w:rsidR="009A0E33" w:rsidRDefault="009A0E33" w:rsidP="00C01145">
                      <w:pPr>
                        <w:rPr>
                          <w:b/>
                          <w:sz w:val="16"/>
                          <w:u w:val="single"/>
                        </w:rPr>
                      </w:pPr>
                    </w:p>
                    <w:p w14:paraId="39C0BBDE" w14:textId="26720329" w:rsidR="009A0E33" w:rsidRDefault="009A0E33" w:rsidP="00C01145">
                      <w:pPr>
                        <w:rPr>
                          <w:b/>
                          <w:sz w:val="16"/>
                          <w:u w:val="single"/>
                        </w:rPr>
                      </w:pPr>
                    </w:p>
                    <w:p w14:paraId="7AAAC699" w14:textId="77777777" w:rsidR="009A0E33" w:rsidRDefault="009A0E33" w:rsidP="00C01145">
                      <w:pPr>
                        <w:rPr>
                          <w:b/>
                          <w:sz w:val="16"/>
                          <w:u w:val="single"/>
                        </w:rPr>
                      </w:pPr>
                    </w:p>
                    <w:p w14:paraId="6750E64E" w14:textId="77777777" w:rsidR="009A0E33" w:rsidRDefault="009A0E33" w:rsidP="00C01145">
                      <w:pPr>
                        <w:rPr>
                          <w:b/>
                          <w:sz w:val="16"/>
                          <w:u w:val="single"/>
                        </w:rPr>
                      </w:pPr>
                    </w:p>
                    <w:p w14:paraId="0AD79BFF" w14:textId="77777777" w:rsidR="009A0E33" w:rsidRDefault="009A0E33" w:rsidP="00C01145">
                      <w:pPr>
                        <w:rPr>
                          <w:b/>
                          <w:sz w:val="16"/>
                          <w:u w:val="single"/>
                        </w:rPr>
                      </w:pPr>
                    </w:p>
                    <w:p w14:paraId="66AE0D62" w14:textId="6A9633CB" w:rsidR="00C01145" w:rsidRDefault="00C01145" w:rsidP="00C01145"/>
                  </w:txbxContent>
                </v:textbox>
                <w10:wrap anchorx="margin"/>
              </v:shape>
            </w:pict>
          </mc:Fallback>
        </mc:AlternateContent>
      </w:r>
      <w:r w:rsidR="009A0E33">
        <w:tab/>
      </w:r>
    </w:p>
    <w:p w14:paraId="55F2E736" w14:textId="6E897401" w:rsidR="00490DE9" w:rsidRDefault="002B230C" w:rsidP="004E0B4B">
      <w:pPr>
        <w:pStyle w:val="YourNameInDocument"/>
        <w:tabs>
          <w:tab w:val="left" w:pos="4275"/>
          <w:tab w:val="left" w:pos="4470"/>
        </w:tabs>
      </w:pPr>
      <w:r>
        <w:tab/>
      </w:r>
      <w:r w:rsidR="004E0B4B">
        <w:tab/>
      </w:r>
    </w:p>
    <w:p w14:paraId="6C076EAC" w14:textId="76F91F62" w:rsidR="009A0E33" w:rsidRDefault="00C36303" w:rsidP="00867E7B">
      <w:pPr>
        <w:pStyle w:val="Heading1"/>
        <w:rPr>
          <w:sz w:val="24"/>
        </w:rPr>
      </w:pPr>
      <w:r>
        <w:rPr>
          <w:noProof/>
        </w:rPr>
        <mc:AlternateContent>
          <mc:Choice Requires="wps">
            <w:drawing>
              <wp:anchor distT="0" distB="0" distL="114300" distR="114300" simplePos="0" relativeHeight="251667455" behindDoc="1" locked="0" layoutInCell="1" allowOverlap="1" wp14:anchorId="7CD407F3" wp14:editId="08729848">
                <wp:simplePos x="0" y="0"/>
                <wp:positionH relativeFrom="column">
                  <wp:posOffset>26670</wp:posOffset>
                </wp:positionH>
                <wp:positionV relativeFrom="paragraph">
                  <wp:posOffset>154306</wp:posOffset>
                </wp:positionV>
                <wp:extent cx="7397750" cy="666750"/>
                <wp:effectExtent l="0" t="0" r="12700" b="19050"/>
                <wp:wrapNone/>
                <wp:docPr id="27" name="Rectangle: Rounded Corners 27"/>
                <wp:cNvGraphicFramePr/>
                <a:graphic xmlns:a="http://schemas.openxmlformats.org/drawingml/2006/main">
                  <a:graphicData uri="http://schemas.microsoft.com/office/word/2010/wordprocessingShape">
                    <wps:wsp>
                      <wps:cNvSpPr/>
                      <wps:spPr>
                        <a:xfrm>
                          <a:off x="0" y="0"/>
                          <a:ext cx="7397750" cy="666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D7E76C" id="Rectangle: Rounded Corners 27" o:spid="_x0000_s1026" style="position:absolute;margin-left:2.1pt;margin-top:12.15pt;width:582.5pt;height:5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" filled="f" strokecolor="#1f3763 [1604]" strokeweight="1pt">
                <v:stroke joinstyle="miter"/>
              </v:roundrect>
            </w:pict>
          </mc:Fallback>
        </mc:AlternateContent>
      </w:r>
    </w:p>
    <w:p w14:paraId="629763B1" w14:textId="5AA038A9" w:rsidR="009A0E33" w:rsidRDefault="009A0E33" w:rsidP="009A0E33"/>
    <w:p w14:paraId="5C0980F0" w14:textId="73A451EC" w:rsidR="009A0E33" w:rsidRDefault="009A0E33" w:rsidP="009A0E33"/>
    <w:p w14:paraId="01E7C9AB" w14:textId="34304D35" w:rsidR="009A0E33" w:rsidRDefault="009A0E33" w:rsidP="009A0E33"/>
    <w:p w14:paraId="60945810" w14:textId="36034EF5" w:rsidR="009A0E33" w:rsidRDefault="009A0E33" w:rsidP="002C6F10"/>
    <w:p w14:paraId="37F8CB1F" w14:textId="5E952DFD" w:rsidR="009A0E33" w:rsidRDefault="009A0E33" w:rsidP="009A0E33"/>
    <w:p w14:paraId="1C1238ED" w14:textId="08EB7132" w:rsidR="009A0E33" w:rsidRDefault="009A0E33" w:rsidP="009A0E33"/>
    <w:p w14:paraId="4B624FDF" w14:textId="57C4A370" w:rsidR="009A0E33" w:rsidRDefault="009A0E33" w:rsidP="009A0E33"/>
    <w:p w14:paraId="2DBEED75" w14:textId="10A87F51" w:rsidR="009A0E33" w:rsidRDefault="009A0E33" w:rsidP="009A0E33"/>
    <w:p w14:paraId="2B2909CA" w14:textId="6069492C" w:rsidR="009A0E33" w:rsidRDefault="009A0E33" w:rsidP="009A0E33"/>
    <w:p w14:paraId="4228FF11" w14:textId="0729B147" w:rsidR="009A0E33" w:rsidRDefault="009A0E33" w:rsidP="00D2174F">
      <w:pPr>
        <w:tabs>
          <w:tab w:val="left" w:pos="3990"/>
        </w:tabs>
      </w:pPr>
    </w:p>
    <w:p w14:paraId="2EE69F84" w14:textId="60825C06" w:rsidR="009A0E33" w:rsidRDefault="009A0E33" w:rsidP="009A0E33"/>
    <w:p w14:paraId="0411408E" w14:textId="24E62A0E" w:rsidR="009A0E33" w:rsidRDefault="009A0E33" w:rsidP="009A0E33"/>
    <w:p w14:paraId="2CE823D8" w14:textId="60B3D741" w:rsidR="009A0E33" w:rsidRDefault="009A0E33" w:rsidP="009A0E33"/>
    <w:p w14:paraId="6E55C4E2" w14:textId="6B6EFDFF" w:rsidR="009A0E33" w:rsidRDefault="009A0E33" w:rsidP="009A0E33"/>
    <w:p w14:paraId="11A6EB69" w14:textId="7F5A26C2" w:rsidR="009D4A34" w:rsidRPr="00E4389F" w:rsidRDefault="009D4A34" w:rsidP="00E4389F"/>
    <w:p w14:paraId="31687531" w14:textId="408DD943" w:rsidR="001B2733" w:rsidRDefault="009B63C0" w:rsidP="005E6909">
      <w:pPr>
        <w:pStyle w:val="Heading1"/>
      </w:pPr>
      <w:bookmarkStart w:id="0" w:name="_GoBack"/>
      <w:bookmarkEnd w:id="0"/>
      <w:r>
        <w:rPr>
          <w:noProof/>
        </w:rPr>
        <mc:AlternateContent>
          <mc:Choice Requires="wps">
            <w:drawing>
              <wp:anchor distT="0" distB="0" distL="114300" distR="114300" simplePos="0" relativeHeight="251668480" behindDoc="1" locked="0" layoutInCell="1" allowOverlap="1" wp14:anchorId="2D857F48" wp14:editId="59E719AC">
                <wp:simplePos x="0" y="0"/>
                <wp:positionH relativeFrom="margin">
                  <wp:align>left</wp:align>
                </wp:positionH>
                <wp:positionV relativeFrom="margin">
                  <wp:posOffset>8851900</wp:posOffset>
                </wp:positionV>
                <wp:extent cx="7442200" cy="827405"/>
                <wp:effectExtent l="0" t="0" r="25400" b="10795"/>
                <wp:wrapTight wrapText="bothSides">
                  <wp:wrapPolygon edited="0">
                    <wp:start x="0" y="0"/>
                    <wp:lineTo x="0" y="21384"/>
                    <wp:lineTo x="21618" y="21384"/>
                    <wp:lineTo x="21618"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7442200" cy="827405"/>
                        </a:xfrm>
                        <a:prstGeom prst="rect">
                          <a:avLst/>
                        </a:prstGeom>
                        <a:solidFill>
                          <a:srgbClr val="002060"/>
                        </a:solidFill>
                        <a:ln w="9528">
                          <a:solidFill>
                            <a:srgbClr val="000000"/>
                          </a:solidFill>
                          <a:prstDash val="solid"/>
                        </a:ln>
                      </wps:spPr>
                      <wps:txb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9"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D857F48" id="Text Box 21" o:spid="_x0000_s1028" type="#_x0000_t202" style="position:absolute;margin-left:0;margin-top:697pt;width:586pt;height:65.15pt;z-index:-25164800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" fillcolor="#002060" strokeweight=".26467mm">
                <v:textbox>
                  <w:txbxContent>
                    <w:p w14:paraId="4269D3C1" w14:textId="77777777" w:rsidR="007E4C2E" w:rsidRDefault="007E4C2E" w:rsidP="007E4C2E">
                      <w:pPr>
                        <w:spacing w:after="0" w:line="240" w:lineRule="auto"/>
                        <w:jc w:val="center"/>
                        <w:rPr>
                          <w:rFonts w:ascii="Arial" w:eastAsia="Calibri" w:hAnsi="Arial" w:cs="Arial"/>
                          <w:sz w:val="18"/>
                          <w:szCs w:val="32"/>
                        </w:rPr>
                      </w:pPr>
                      <w:r w:rsidRPr="006D16F4">
                        <w:rPr>
                          <w:rFonts w:ascii="Arial" w:eastAsia="Calibri" w:hAnsi="Arial" w:cs="Arial"/>
                          <w:b/>
                          <w:color w:val="FFFFFF"/>
                          <w:sz w:val="18"/>
                          <w:szCs w:val="32"/>
                        </w:rPr>
                        <w:t>Address questions/comments to Nevada OD2</w:t>
                      </w:r>
                      <w:proofErr w:type="gramStart"/>
                      <w:r w:rsidRPr="006D16F4">
                        <w:rPr>
                          <w:rFonts w:ascii="Arial" w:eastAsia="Calibri" w:hAnsi="Arial" w:cs="Arial"/>
                          <w:b/>
                          <w:color w:val="FFFFFF"/>
                          <w:sz w:val="18"/>
                          <w:szCs w:val="32"/>
                        </w:rPr>
                        <w:t>A‘</w:t>
                      </w:r>
                      <w:proofErr w:type="gramEnd"/>
                      <w:r w:rsidRPr="006D16F4">
                        <w:rPr>
                          <w:rFonts w:ascii="Arial" w:eastAsia="Calibri" w:hAnsi="Arial" w:cs="Arial"/>
                          <w:b/>
                          <w:color w:val="FFFFFF"/>
                          <w:sz w:val="18"/>
                          <w:szCs w:val="32"/>
                        </w:rPr>
                        <w:t xml:space="preserve">s opioid epidemiologist, Shawn Thomas, MPH, at </w:t>
                      </w:r>
                      <w:hyperlink r:id="rId12" w:history="1">
                        <w:r w:rsidRPr="006D16F4">
                          <w:rPr>
                            <w:rStyle w:val="Hyperlink"/>
                            <w:rFonts w:ascii="Arial" w:eastAsia="Calibri" w:hAnsi="Arial" w:cs="Arial"/>
                            <w:b/>
                            <w:color w:val="FFFFFF" w:themeColor="background1"/>
                            <w:sz w:val="18"/>
                            <w:szCs w:val="32"/>
                          </w:rPr>
                          <w:t>shawnt@unr.edu</w:t>
                        </w:r>
                      </w:hyperlink>
                      <w:r w:rsidRPr="006D16F4">
                        <w:rPr>
                          <w:rFonts w:ascii="Arial" w:eastAsia="Calibri" w:hAnsi="Arial" w:cs="Arial"/>
                          <w:b/>
                          <w:color w:val="FFFFFF" w:themeColor="background1"/>
                          <w:sz w:val="18"/>
                          <w:szCs w:val="32"/>
                        </w:rPr>
                        <w:t>.</w:t>
                      </w:r>
                    </w:p>
                    <w:p w14:paraId="70ED66A8" w14:textId="77777777" w:rsidR="007E4C2E" w:rsidRDefault="007E4C2E" w:rsidP="007E4C2E">
                      <w:pPr>
                        <w:spacing w:after="0" w:line="240" w:lineRule="auto"/>
                        <w:rPr>
                          <w:rFonts w:ascii="Arial" w:eastAsia="Calibri" w:hAnsi="Arial" w:cs="Arial"/>
                          <w:sz w:val="18"/>
                          <w:szCs w:val="32"/>
                        </w:rPr>
                      </w:pPr>
                    </w:p>
                    <w:p w14:paraId="5E88292D" w14:textId="77777777" w:rsidR="007E4C2E" w:rsidRPr="006D16F4" w:rsidRDefault="007E4C2E" w:rsidP="007E4C2E">
                      <w:pPr>
                        <w:spacing w:after="0" w:line="240" w:lineRule="auto"/>
                        <w:jc w:val="center"/>
                        <w:rPr>
                          <w:rFonts w:ascii="Arial" w:eastAsia="Calibri" w:hAnsi="Arial" w:cs="Arial"/>
                          <w:sz w:val="18"/>
                          <w:szCs w:val="32"/>
                        </w:rPr>
                      </w:pPr>
                      <w:r w:rsidRPr="006D16F4">
                        <w:rPr>
                          <w:noProof/>
                        </w:rPr>
                        <w:drawing>
                          <wp:inline distT="0" distB="0" distL="0" distR="0" wp14:anchorId="30066B13" wp14:editId="25E6B88B">
                            <wp:extent cx="1109345" cy="49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116" cy="511271"/>
                                    </a:xfrm>
                                    <a:prstGeom prst="rect">
                                      <a:avLst/>
                                    </a:prstGeom>
                                    <a:noFill/>
                                    <a:ln>
                                      <a:noFill/>
                                    </a:ln>
                                  </pic:spPr>
                                </pic:pic>
                              </a:graphicData>
                            </a:graphic>
                          </wp:inline>
                        </w:drawing>
                      </w:r>
                      <w:r>
                        <w:rPr>
                          <w:noProof/>
                        </w:rPr>
                        <w:t xml:space="preserve">                 </w:t>
                      </w:r>
                      <w:r>
                        <w:rPr>
                          <w:noProof/>
                        </w:rPr>
                        <w:drawing>
                          <wp:inline distT="0" distB="0" distL="0" distR="0" wp14:anchorId="0C0FAF2A" wp14:editId="50BF8DD6">
                            <wp:extent cx="1199515" cy="485768"/>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7086" cy="541480"/>
                                    </a:xfrm>
                                    <a:prstGeom prst="rect">
                                      <a:avLst/>
                                    </a:prstGeom>
                                  </pic:spPr>
                                </pic:pic>
                              </a:graphicData>
                            </a:graphic>
                          </wp:inline>
                        </w:drawing>
                      </w:r>
                    </w:p>
                    <w:p w14:paraId="28A07DCA" w14:textId="77777777" w:rsidR="007E4C2E" w:rsidRPr="006D16F4" w:rsidRDefault="007E4C2E" w:rsidP="007E4C2E">
                      <w:pPr>
                        <w:spacing w:after="0" w:line="240" w:lineRule="auto"/>
                        <w:jc w:val="center"/>
                        <w:rPr>
                          <w:i/>
                          <w:sz w:val="18"/>
                        </w:rPr>
                      </w:pPr>
                    </w:p>
                  </w:txbxContent>
                </v:textbox>
                <w10:wrap type="tight" anchorx="margin" anchory="margin"/>
              </v:shape>
            </w:pict>
          </mc:Fallback>
        </mc:AlternateContent>
      </w:r>
    </w:p>
    <w:sectPr w:rsidR="001B2733">
      <w:footerReference w:type="default" r:id="rId13"/>
      <w:pgSz w:w="12240" w:h="15840"/>
      <w:pgMar w:top="288" w:right="288" w:bottom="288" w:left="288" w:header="216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2291" w16cex:dateUtc="2020-08-20T05: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DA47" w14:textId="77777777" w:rsidR="000D7329" w:rsidRDefault="000D7329">
      <w:pPr>
        <w:spacing w:after="0" w:line="240" w:lineRule="auto"/>
      </w:pPr>
      <w:r>
        <w:separator/>
      </w:r>
    </w:p>
  </w:endnote>
  <w:endnote w:type="continuationSeparator" w:id="0">
    <w:p w14:paraId="565D6837" w14:textId="77777777" w:rsidR="000D7329" w:rsidRDefault="000D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E72B" w14:textId="2D6AC11A" w:rsidR="00094CF6" w:rsidRDefault="00C0114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6212" w14:textId="77777777" w:rsidR="000D7329" w:rsidRDefault="000D7329">
      <w:pPr>
        <w:spacing w:after="0" w:line="240" w:lineRule="auto"/>
      </w:pPr>
      <w:r>
        <w:separator/>
      </w:r>
    </w:p>
  </w:footnote>
  <w:footnote w:type="continuationSeparator" w:id="0">
    <w:p w14:paraId="7D3C1A6C" w14:textId="77777777" w:rsidR="000D7329" w:rsidRDefault="000D7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A76"/>
    <w:multiLevelType w:val="hybridMultilevel"/>
    <w:tmpl w:val="A16C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15B9F"/>
    <w:multiLevelType w:val="hybridMultilevel"/>
    <w:tmpl w:val="5E4C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19F6"/>
    <w:multiLevelType w:val="hybridMultilevel"/>
    <w:tmpl w:val="3304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A49AB"/>
    <w:multiLevelType w:val="multilevel"/>
    <w:tmpl w:val="B34013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531854"/>
    <w:multiLevelType w:val="hybridMultilevel"/>
    <w:tmpl w:val="13609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45"/>
    <w:rsid w:val="00004829"/>
    <w:rsid w:val="00004897"/>
    <w:rsid w:val="000057F9"/>
    <w:rsid w:val="0000752F"/>
    <w:rsid w:val="00067ED6"/>
    <w:rsid w:val="000756AF"/>
    <w:rsid w:val="00090053"/>
    <w:rsid w:val="00090367"/>
    <w:rsid w:val="000959F9"/>
    <w:rsid w:val="000A5F64"/>
    <w:rsid w:val="000C5BB0"/>
    <w:rsid w:val="000D5B45"/>
    <w:rsid w:val="000D7329"/>
    <w:rsid w:val="000F6073"/>
    <w:rsid w:val="000F6DB6"/>
    <w:rsid w:val="00113CDC"/>
    <w:rsid w:val="00145F4C"/>
    <w:rsid w:val="00150656"/>
    <w:rsid w:val="00151F94"/>
    <w:rsid w:val="00181C25"/>
    <w:rsid w:val="00195DC4"/>
    <w:rsid w:val="001A0A63"/>
    <w:rsid w:val="001E4509"/>
    <w:rsid w:val="001E6B22"/>
    <w:rsid w:val="001F15CA"/>
    <w:rsid w:val="0024085C"/>
    <w:rsid w:val="00241C6E"/>
    <w:rsid w:val="00246B1D"/>
    <w:rsid w:val="00262B59"/>
    <w:rsid w:val="002A4D71"/>
    <w:rsid w:val="002B230C"/>
    <w:rsid w:val="002B3D3A"/>
    <w:rsid w:val="002C0A70"/>
    <w:rsid w:val="002C6F10"/>
    <w:rsid w:val="002D224C"/>
    <w:rsid w:val="003022C6"/>
    <w:rsid w:val="00307578"/>
    <w:rsid w:val="00321167"/>
    <w:rsid w:val="00330695"/>
    <w:rsid w:val="00331435"/>
    <w:rsid w:val="00354E5D"/>
    <w:rsid w:val="0040474E"/>
    <w:rsid w:val="00433027"/>
    <w:rsid w:val="00455898"/>
    <w:rsid w:val="00472D4F"/>
    <w:rsid w:val="00490DE9"/>
    <w:rsid w:val="004B60D7"/>
    <w:rsid w:val="004B6431"/>
    <w:rsid w:val="004D00BF"/>
    <w:rsid w:val="004E0B4B"/>
    <w:rsid w:val="004E4882"/>
    <w:rsid w:val="0050201A"/>
    <w:rsid w:val="00506F86"/>
    <w:rsid w:val="00530318"/>
    <w:rsid w:val="005405B2"/>
    <w:rsid w:val="005873A5"/>
    <w:rsid w:val="00590999"/>
    <w:rsid w:val="005934C9"/>
    <w:rsid w:val="005A4DA9"/>
    <w:rsid w:val="005A6CC6"/>
    <w:rsid w:val="005C2C3F"/>
    <w:rsid w:val="005C4D6B"/>
    <w:rsid w:val="005E6909"/>
    <w:rsid w:val="005F6215"/>
    <w:rsid w:val="006119AD"/>
    <w:rsid w:val="0062379B"/>
    <w:rsid w:val="00633DCC"/>
    <w:rsid w:val="006703C9"/>
    <w:rsid w:val="0067274B"/>
    <w:rsid w:val="00692A8F"/>
    <w:rsid w:val="006A3901"/>
    <w:rsid w:val="006D16F4"/>
    <w:rsid w:val="006D2B50"/>
    <w:rsid w:val="006D3E78"/>
    <w:rsid w:val="00721D3A"/>
    <w:rsid w:val="007220B6"/>
    <w:rsid w:val="00767C2B"/>
    <w:rsid w:val="007876C1"/>
    <w:rsid w:val="007C0995"/>
    <w:rsid w:val="007D4A80"/>
    <w:rsid w:val="007E4C2E"/>
    <w:rsid w:val="0082289F"/>
    <w:rsid w:val="00831CF1"/>
    <w:rsid w:val="00867E7B"/>
    <w:rsid w:val="008733DE"/>
    <w:rsid w:val="00873F9D"/>
    <w:rsid w:val="00895563"/>
    <w:rsid w:val="008B02F5"/>
    <w:rsid w:val="008B0C22"/>
    <w:rsid w:val="008C601D"/>
    <w:rsid w:val="008C7B91"/>
    <w:rsid w:val="008D18E6"/>
    <w:rsid w:val="008D1E72"/>
    <w:rsid w:val="0092095A"/>
    <w:rsid w:val="00942439"/>
    <w:rsid w:val="00952A03"/>
    <w:rsid w:val="00963CF9"/>
    <w:rsid w:val="00966FDA"/>
    <w:rsid w:val="00970C52"/>
    <w:rsid w:val="009A0E33"/>
    <w:rsid w:val="009A669E"/>
    <w:rsid w:val="009B63C0"/>
    <w:rsid w:val="009D4654"/>
    <w:rsid w:val="009D4A34"/>
    <w:rsid w:val="009E2A45"/>
    <w:rsid w:val="009E7495"/>
    <w:rsid w:val="009F7242"/>
    <w:rsid w:val="00A435CB"/>
    <w:rsid w:val="00A459DC"/>
    <w:rsid w:val="00A55EAC"/>
    <w:rsid w:val="00A7384A"/>
    <w:rsid w:val="00A7583A"/>
    <w:rsid w:val="00A87461"/>
    <w:rsid w:val="00A94665"/>
    <w:rsid w:val="00AA26A1"/>
    <w:rsid w:val="00AE4B43"/>
    <w:rsid w:val="00AE6CFB"/>
    <w:rsid w:val="00B03065"/>
    <w:rsid w:val="00B12B9B"/>
    <w:rsid w:val="00B1644A"/>
    <w:rsid w:val="00B270BF"/>
    <w:rsid w:val="00B4034D"/>
    <w:rsid w:val="00B54239"/>
    <w:rsid w:val="00B66860"/>
    <w:rsid w:val="00BB6E5F"/>
    <w:rsid w:val="00BD7D16"/>
    <w:rsid w:val="00C01145"/>
    <w:rsid w:val="00C10C29"/>
    <w:rsid w:val="00C11C7E"/>
    <w:rsid w:val="00C36303"/>
    <w:rsid w:val="00C46807"/>
    <w:rsid w:val="00C724A6"/>
    <w:rsid w:val="00C7634C"/>
    <w:rsid w:val="00CA4DA6"/>
    <w:rsid w:val="00CB1B7C"/>
    <w:rsid w:val="00CB5226"/>
    <w:rsid w:val="00D2174F"/>
    <w:rsid w:val="00D3726A"/>
    <w:rsid w:val="00D51929"/>
    <w:rsid w:val="00D7359C"/>
    <w:rsid w:val="00D80A75"/>
    <w:rsid w:val="00D902DD"/>
    <w:rsid w:val="00D95D04"/>
    <w:rsid w:val="00DA698B"/>
    <w:rsid w:val="00DF0827"/>
    <w:rsid w:val="00E12385"/>
    <w:rsid w:val="00E311EF"/>
    <w:rsid w:val="00E4389F"/>
    <w:rsid w:val="00E5592B"/>
    <w:rsid w:val="00E72DF5"/>
    <w:rsid w:val="00E945C8"/>
    <w:rsid w:val="00EB6277"/>
    <w:rsid w:val="00EB6A28"/>
    <w:rsid w:val="00ED6F3B"/>
    <w:rsid w:val="00F06283"/>
    <w:rsid w:val="00F1366A"/>
    <w:rsid w:val="00F21C1C"/>
    <w:rsid w:val="00F26996"/>
    <w:rsid w:val="00F3363E"/>
    <w:rsid w:val="00F54A4E"/>
    <w:rsid w:val="00F624C1"/>
    <w:rsid w:val="00F70514"/>
    <w:rsid w:val="00F72C93"/>
    <w:rsid w:val="00F863F1"/>
    <w:rsid w:val="00F968B0"/>
    <w:rsid w:val="00FC27C6"/>
    <w:rsid w:val="00FF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738A"/>
  <w15:chartTrackingRefBased/>
  <w15:docId w15:val="{EA04C3DA-0E7C-45C2-BF45-75F30872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1145"/>
    <w:pPr>
      <w:tabs>
        <w:tab w:val="center" w:pos="4320"/>
        <w:tab w:val="right" w:pos="8640"/>
      </w:tabs>
      <w:suppressAutoHyphens/>
      <w:autoSpaceDN w:val="0"/>
      <w:spacing w:after="200" w:line="276" w:lineRule="auto"/>
      <w:textAlignment w:val="baseline"/>
    </w:pPr>
    <w:rPr>
      <w:rFonts w:ascii="Calibri" w:eastAsia="Calibri" w:hAnsi="Calibri" w:cs="Times New Roman"/>
      <w:sz w:val="24"/>
      <w:szCs w:val="24"/>
    </w:rPr>
  </w:style>
  <w:style w:type="character" w:customStyle="1" w:styleId="FooterChar">
    <w:name w:val="Footer Char"/>
    <w:basedOn w:val="DefaultParagraphFont"/>
    <w:link w:val="Footer"/>
    <w:rsid w:val="00C01145"/>
    <w:rPr>
      <w:rFonts w:ascii="Calibri" w:eastAsia="Calibri" w:hAnsi="Calibri" w:cs="Times New Roman"/>
      <w:sz w:val="24"/>
      <w:szCs w:val="24"/>
    </w:rPr>
  </w:style>
  <w:style w:type="paragraph" w:customStyle="1" w:styleId="CoverPageSubtitle">
    <w:name w:val="Cover Page Subtitle"/>
    <w:basedOn w:val="Normal"/>
    <w:rsid w:val="00C01145"/>
    <w:pPr>
      <w:suppressAutoHyphens/>
      <w:autoSpaceDN w:val="0"/>
      <w:spacing w:before="100" w:after="100" w:line="276" w:lineRule="auto"/>
      <w:jc w:val="right"/>
      <w:textAlignment w:val="baseline"/>
    </w:pPr>
    <w:rPr>
      <w:rFonts w:ascii="Calibri" w:eastAsia="Calibri" w:hAnsi="Calibri" w:cs="Times New Roman"/>
      <w:color w:val="FFFFFF"/>
      <w:sz w:val="32"/>
      <w:szCs w:val="32"/>
    </w:rPr>
  </w:style>
  <w:style w:type="paragraph" w:customStyle="1" w:styleId="YourNameInDocument">
    <w:name w:val="Your Name In Document"/>
    <w:basedOn w:val="Normal"/>
    <w:rsid w:val="00C01145"/>
    <w:pPr>
      <w:suppressAutoHyphens/>
      <w:autoSpaceDN w:val="0"/>
      <w:spacing w:after="200" w:line="276" w:lineRule="auto"/>
      <w:textAlignment w:val="baseline"/>
    </w:pPr>
    <w:rPr>
      <w:rFonts w:ascii="Calibri" w:eastAsia="Calibri" w:hAnsi="Calibri" w:cs="Times New Roman"/>
      <w:sz w:val="24"/>
      <w:szCs w:val="24"/>
    </w:rPr>
  </w:style>
  <w:style w:type="paragraph" w:styleId="ListParagraph">
    <w:name w:val="List Paragraph"/>
    <w:basedOn w:val="Normal"/>
    <w:rsid w:val="00C01145"/>
    <w:pPr>
      <w:suppressAutoHyphens/>
      <w:autoSpaceDN w:val="0"/>
      <w:spacing w:after="0" w:line="240" w:lineRule="auto"/>
      <w:ind w:left="720"/>
      <w:textAlignment w:val="baseline"/>
    </w:pPr>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1A0A63"/>
    <w:rPr>
      <w:sz w:val="16"/>
      <w:szCs w:val="16"/>
    </w:rPr>
  </w:style>
  <w:style w:type="paragraph" w:styleId="CommentText">
    <w:name w:val="annotation text"/>
    <w:basedOn w:val="Normal"/>
    <w:link w:val="CommentTextChar"/>
    <w:uiPriority w:val="99"/>
    <w:semiHidden/>
    <w:unhideWhenUsed/>
    <w:rsid w:val="001A0A63"/>
    <w:pPr>
      <w:spacing w:line="240" w:lineRule="auto"/>
    </w:pPr>
    <w:rPr>
      <w:sz w:val="20"/>
      <w:szCs w:val="20"/>
    </w:rPr>
  </w:style>
  <w:style w:type="character" w:customStyle="1" w:styleId="CommentTextChar">
    <w:name w:val="Comment Text Char"/>
    <w:basedOn w:val="DefaultParagraphFont"/>
    <w:link w:val="CommentText"/>
    <w:uiPriority w:val="99"/>
    <w:semiHidden/>
    <w:rsid w:val="001A0A63"/>
    <w:rPr>
      <w:sz w:val="20"/>
      <w:szCs w:val="20"/>
    </w:rPr>
  </w:style>
  <w:style w:type="paragraph" w:styleId="CommentSubject">
    <w:name w:val="annotation subject"/>
    <w:basedOn w:val="CommentText"/>
    <w:next w:val="CommentText"/>
    <w:link w:val="CommentSubjectChar"/>
    <w:uiPriority w:val="99"/>
    <w:semiHidden/>
    <w:unhideWhenUsed/>
    <w:rsid w:val="001A0A63"/>
    <w:rPr>
      <w:b/>
      <w:bCs/>
    </w:rPr>
  </w:style>
  <w:style w:type="character" w:customStyle="1" w:styleId="CommentSubjectChar">
    <w:name w:val="Comment Subject Char"/>
    <w:basedOn w:val="CommentTextChar"/>
    <w:link w:val="CommentSubject"/>
    <w:uiPriority w:val="99"/>
    <w:semiHidden/>
    <w:rsid w:val="001A0A63"/>
    <w:rPr>
      <w:b/>
      <w:bCs/>
      <w:sz w:val="20"/>
      <w:szCs w:val="20"/>
    </w:rPr>
  </w:style>
  <w:style w:type="paragraph" w:styleId="BalloonText">
    <w:name w:val="Balloon Text"/>
    <w:basedOn w:val="Normal"/>
    <w:link w:val="BalloonTextChar"/>
    <w:uiPriority w:val="99"/>
    <w:semiHidden/>
    <w:unhideWhenUsed/>
    <w:rsid w:val="001A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63"/>
    <w:rPr>
      <w:rFonts w:ascii="Segoe UI" w:hAnsi="Segoe UI" w:cs="Segoe UI"/>
      <w:sz w:val="18"/>
      <w:szCs w:val="18"/>
    </w:rPr>
  </w:style>
  <w:style w:type="character" w:customStyle="1" w:styleId="Heading1Char">
    <w:name w:val="Heading 1 Char"/>
    <w:basedOn w:val="DefaultParagraphFont"/>
    <w:link w:val="Heading1"/>
    <w:uiPriority w:val="9"/>
    <w:rsid w:val="00867E7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D16F4"/>
    <w:rPr>
      <w:color w:val="0563C1" w:themeColor="hyperlink"/>
      <w:u w:val="single"/>
    </w:r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E43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424028">
      <w:bodyDiv w:val="1"/>
      <w:marLeft w:val="0"/>
      <w:marRight w:val="0"/>
      <w:marTop w:val="0"/>
      <w:marBottom w:val="0"/>
      <w:divBdr>
        <w:top w:val="none" w:sz="0" w:space="0" w:color="auto"/>
        <w:left w:val="none" w:sz="0" w:space="0" w:color="auto"/>
        <w:bottom w:val="none" w:sz="0" w:space="0" w:color="auto"/>
        <w:right w:val="none" w:sz="0" w:space="0" w:color="auto"/>
      </w:divBdr>
    </w:div>
    <w:div w:id="1778868416">
      <w:bodyDiv w:val="1"/>
      <w:marLeft w:val="0"/>
      <w:marRight w:val="0"/>
      <w:marTop w:val="0"/>
      <w:marBottom w:val="0"/>
      <w:divBdr>
        <w:top w:val="none" w:sz="0" w:space="0" w:color="auto"/>
        <w:left w:val="none" w:sz="0" w:space="0" w:color="auto"/>
        <w:bottom w:val="none" w:sz="0" w:space="0" w:color="auto"/>
        <w:right w:val="none" w:sz="0" w:space="0" w:color="auto"/>
      </w:divBdr>
    </w:div>
    <w:div w:id="17992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mailto:shawnt@u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hawnt@unr.edu"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wnt\AppData\Local\Box\Box%20Edit\Documents\atRN5ALjeke6v0fQ7oCGxg==\Sept_2020_DOS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'Northern Region'!$B$2</c:f>
              <c:strCache>
                <c:ptCount val="1"/>
                <c:pt idx="0">
                  <c:v>Nevada</c:v>
                </c:pt>
              </c:strCache>
            </c:strRef>
          </c:tx>
          <c:spPr>
            <a:ln w="28575" cap="rnd">
              <a:solidFill>
                <a:schemeClr val="accent5">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'Northern Region'!$A$3:$A$10</c:f>
              <c:strCache>
                <c:ptCount val="8"/>
                <c:pt idx="0">
                  <c:v> Jan-20</c:v>
                </c:pt>
                <c:pt idx="1">
                  <c:v> Feb-20</c:v>
                </c:pt>
                <c:pt idx="2">
                  <c:v> Mar-20</c:v>
                </c:pt>
                <c:pt idx="3">
                  <c:v> Apr-20</c:v>
                </c:pt>
                <c:pt idx="4">
                  <c:v> May-20</c:v>
                </c:pt>
                <c:pt idx="5">
                  <c:v> Jun-20</c:v>
                </c:pt>
                <c:pt idx="6">
                  <c:v> Jul-20</c:v>
                </c:pt>
                <c:pt idx="7">
                  <c:v> Aug-20</c:v>
                </c:pt>
              </c:strCache>
            </c:strRef>
          </c:cat>
          <c:val>
            <c:numRef>
              <c:f>'Northern Region'!$B$3:$B$10</c:f>
              <c:numCache>
                <c:formatCode>0.0</c:formatCode>
                <c:ptCount val="8"/>
                <c:pt idx="0">
                  <c:v>2.4512987012987013</c:v>
                </c:pt>
                <c:pt idx="1">
                  <c:v>2.25</c:v>
                </c:pt>
                <c:pt idx="2">
                  <c:v>2.0129870129870131</c:v>
                </c:pt>
                <c:pt idx="3">
                  <c:v>1.9772727272727273</c:v>
                </c:pt>
                <c:pt idx="4">
                  <c:v>2.4610389610389611</c:v>
                </c:pt>
                <c:pt idx="5">
                  <c:v>2.3149350649350651</c:v>
                </c:pt>
                <c:pt idx="6">
                  <c:v>2.4285714285714284</c:v>
                </c:pt>
                <c:pt idx="7">
                  <c:v>2.5584415584415585</c:v>
                </c:pt>
              </c:numCache>
            </c:numRef>
          </c:val>
          <c:smooth val="0"/>
          <c:extLst>
            <c:ext xmlns:c16="http://schemas.microsoft.com/office/drawing/2014/chart" uri="{C3380CC4-5D6E-409C-BE32-E72D297353CC}">
              <c16:uniqueId val="{00000000-22D8-4F4B-AB13-05630950BF53}"/>
            </c:ext>
          </c:extLst>
        </c:ser>
        <c:ser>
          <c:idx val="1"/>
          <c:order val="1"/>
          <c:tx>
            <c:strRef>
              <c:f>'Northern Region'!$C$2</c:f>
              <c:strCache>
                <c:ptCount val="1"/>
                <c:pt idx="0">
                  <c:v>Northern Region</c:v>
                </c:pt>
              </c:strCache>
            </c:strRef>
          </c:tx>
          <c:spPr>
            <a:ln w="28575" cap="rnd">
              <a:solidFill>
                <a:schemeClr val="accent5">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'Northern Region'!$A$3:$A$10</c:f>
              <c:strCache>
                <c:ptCount val="8"/>
                <c:pt idx="0">
                  <c:v> Jan-20</c:v>
                </c:pt>
                <c:pt idx="1">
                  <c:v> Feb-20</c:v>
                </c:pt>
                <c:pt idx="2">
                  <c:v> Mar-20</c:v>
                </c:pt>
                <c:pt idx="3">
                  <c:v> Apr-20</c:v>
                </c:pt>
                <c:pt idx="4">
                  <c:v> May-20</c:v>
                </c:pt>
                <c:pt idx="5">
                  <c:v> Jun-20</c:v>
                </c:pt>
                <c:pt idx="6">
                  <c:v> Jul-20</c:v>
                </c:pt>
                <c:pt idx="7">
                  <c:v> Aug-20</c:v>
                </c:pt>
              </c:strCache>
            </c:strRef>
          </c:cat>
          <c:val>
            <c:numRef>
              <c:f>'Northern Region'!$C$3:$C$10</c:f>
              <c:numCache>
                <c:formatCode>0.0</c:formatCode>
                <c:ptCount val="8"/>
                <c:pt idx="0">
                  <c:v>1.4631877635697601</c:v>
                </c:pt>
                <c:pt idx="1">
                  <c:v>1.5677011752533143</c:v>
                </c:pt>
                <c:pt idx="2">
                  <c:v>1.5677011752533143</c:v>
                </c:pt>
                <c:pt idx="3">
                  <c:v>1.3586743518862059</c:v>
                </c:pt>
                <c:pt idx="4">
                  <c:v>1.2541609402026515</c:v>
                </c:pt>
                <c:pt idx="5">
                  <c:v>1.6722145869368688</c:v>
                </c:pt>
                <c:pt idx="6">
                  <c:v>1.1496475285190972</c:v>
                </c:pt>
                <c:pt idx="7">
                  <c:v>1.3586743518862059</c:v>
                </c:pt>
              </c:numCache>
            </c:numRef>
          </c:val>
          <c:smooth val="0"/>
          <c:extLst>
            <c:ext xmlns:c16="http://schemas.microsoft.com/office/drawing/2014/chart" uri="{C3380CC4-5D6E-409C-BE32-E72D297353CC}">
              <c16:uniqueId val="{00000001-22D8-4F4B-AB13-05630950BF53}"/>
            </c:ext>
          </c:extLst>
        </c:ser>
        <c:dLbls>
          <c:dLblPos val="t"/>
          <c:showLegendKey val="0"/>
          <c:showVal val="1"/>
          <c:showCatName val="0"/>
          <c:showSerName val="0"/>
          <c:showPercent val="0"/>
          <c:showBubbleSize val="0"/>
        </c:dLbls>
        <c:smooth val="0"/>
        <c:axId val="588480600"/>
        <c:axId val="588481584"/>
      </c:lineChart>
      <c:catAx>
        <c:axId val="588480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81584"/>
        <c:crosses val="autoZero"/>
        <c:auto val="1"/>
        <c:lblAlgn val="ctr"/>
        <c:lblOffset val="100"/>
        <c:noMultiLvlLbl val="0"/>
      </c:catAx>
      <c:valAx>
        <c:axId val="58848158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80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'Northern Region'!$B$12</c:f>
              <c:strCache>
                <c:ptCount val="1"/>
                <c:pt idx="0">
                  <c:v>Nevada</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'Northern Region'!$A$13:$A$15</c:f>
              <c:strCache>
                <c:ptCount val="3"/>
                <c:pt idx="0">
                  <c:v> Aug-18</c:v>
                </c:pt>
                <c:pt idx="1">
                  <c:v> Aug-19</c:v>
                </c:pt>
                <c:pt idx="2">
                  <c:v> Aug-20</c:v>
                </c:pt>
              </c:strCache>
            </c:strRef>
          </c:cat>
          <c:val>
            <c:numRef>
              <c:f>'Northern Region'!$B$13:$B$15</c:f>
              <c:numCache>
                <c:formatCode>0.0</c:formatCode>
                <c:ptCount val="3"/>
                <c:pt idx="0">
                  <c:v>2</c:v>
                </c:pt>
                <c:pt idx="1">
                  <c:v>2.2999999999999998</c:v>
                </c:pt>
                <c:pt idx="2">
                  <c:v>2.6</c:v>
                </c:pt>
              </c:numCache>
            </c:numRef>
          </c:val>
          <c:extLst>
            <c:ext xmlns:c16="http://schemas.microsoft.com/office/drawing/2014/chart" uri="{C3380CC4-5D6E-409C-BE32-E72D297353CC}">
              <c16:uniqueId val="{00000000-27F0-4E27-91D3-225CF79D7765}"/>
            </c:ext>
          </c:extLst>
        </c:ser>
        <c:ser>
          <c:idx val="1"/>
          <c:order val="1"/>
          <c:tx>
            <c:strRef>
              <c:f>'Northern Region'!$C$12</c:f>
              <c:strCache>
                <c:ptCount val="1"/>
                <c:pt idx="0">
                  <c:v>Northern Region</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'Northern Region'!$A$13:$A$15</c:f>
              <c:strCache>
                <c:ptCount val="3"/>
                <c:pt idx="0">
                  <c:v> Aug-18</c:v>
                </c:pt>
                <c:pt idx="1">
                  <c:v> Aug-19</c:v>
                </c:pt>
                <c:pt idx="2">
                  <c:v> Aug-20</c:v>
                </c:pt>
              </c:strCache>
            </c:strRef>
          </c:cat>
          <c:val>
            <c:numRef>
              <c:f>'Northern Region'!$C$13:$C$15</c:f>
              <c:numCache>
                <c:formatCode>0.0</c:formatCode>
                <c:ptCount val="3"/>
                <c:pt idx="0">
                  <c:v>1.3064176460444286</c:v>
                </c:pt>
                <c:pt idx="1">
                  <c:v>1.410931057727983</c:v>
                </c:pt>
                <c:pt idx="2">
                  <c:v>1.3586743518862059</c:v>
                </c:pt>
              </c:numCache>
            </c:numRef>
          </c:val>
          <c:extLst>
            <c:ext xmlns:c16="http://schemas.microsoft.com/office/drawing/2014/chart" uri="{C3380CC4-5D6E-409C-BE32-E72D297353CC}">
              <c16:uniqueId val="{00000001-27F0-4E27-91D3-225CF79D7765}"/>
            </c:ext>
          </c:extLst>
        </c:ser>
        <c:dLbls>
          <c:dLblPos val="outEnd"/>
          <c:showLegendKey val="0"/>
          <c:showVal val="1"/>
          <c:showCatName val="0"/>
          <c:showSerName val="0"/>
          <c:showPercent val="0"/>
          <c:showBubbleSize val="0"/>
        </c:dLbls>
        <c:gapWidth val="219"/>
        <c:overlap val="-27"/>
        <c:axId val="587264184"/>
        <c:axId val="587264512"/>
      </c:barChart>
      <c:catAx>
        <c:axId val="5872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264512"/>
        <c:crosses val="autoZero"/>
        <c:auto val="1"/>
        <c:lblAlgn val="ctr"/>
        <c:lblOffset val="100"/>
        <c:noMultiLvlLbl val="0"/>
      </c:catAx>
      <c:valAx>
        <c:axId val="587264512"/>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726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A Thomas</dc:creator>
  <cp:keywords/>
  <dc:description/>
  <cp:lastModifiedBy>Shawn A Thomas</cp:lastModifiedBy>
  <cp:revision>5</cp:revision>
  <cp:lastPrinted>2020-03-30T21:40:00Z</cp:lastPrinted>
  <dcterms:created xsi:type="dcterms:W3CDTF">2020-09-11T18:24:00Z</dcterms:created>
  <dcterms:modified xsi:type="dcterms:W3CDTF">2020-09-17T18:17:00Z</dcterms:modified>
</cp:coreProperties>
</file>